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BFF55" w14:textId="77777777" w:rsidR="00B52DCC" w:rsidRPr="007B2920" w:rsidRDefault="00670596" w:rsidP="007B2920">
      <w:pPr>
        <w:jc w:val="center"/>
        <w:rPr>
          <w:b/>
          <w:color w:val="000000"/>
        </w:rPr>
      </w:pPr>
      <w:bookmarkStart w:id="0" w:name="_Hlk180689134"/>
      <w:r w:rsidRPr="007B2920">
        <w:rPr>
          <w:b/>
          <w:color w:val="000000"/>
        </w:rPr>
        <w:t>UNITED STATES DISTRICT COURT</w:t>
      </w:r>
    </w:p>
    <w:bookmarkEnd w:id="0"/>
    <w:p w14:paraId="47BF6C98" w14:textId="77777777" w:rsidR="00B52DCC" w:rsidRPr="007B2920" w:rsidRDefault="00670596" w:rsidP="007B2920">
      <w:pPr>
        <w:spacing w:after="240"/>
        <w:jc w:val="center"/>
        <w:rPr>
          <w:b/>
          <w:color w:val="000000"/>
        </w:rPr>
      </w:pPr>
      <w:r w:rsidRPr="007B2920">
        <w:rPr>
          <w:b/>
          <w:color w:val="000000"/>
        </w:rPr>
        <w:t>SOUTHERN DISTRICT OF NEW YORK</w:t>
      </w:r>
    </w:p>
    <w:tbl>
      <w:tblPr>
        <w:tblW w:w="0" w:type="auto"/>
        <w:jc w:val="center"/>
        <w:tblLook w:val="01E0" w:firstRow="1" w:lastRow="1" w:firstColumn="1" w:lastColumn="1" w:noHBand="0" w:noVBand="0"/>
      </w:tblPr>
      <w:tblGrid>
        <w:gridCol w:w="5006"/>
        <w:gridCol w:w="268"/>
        <w:gridCol w:w="3978"/>
      </w:tblGrid>
      <w:tr w:rsidR="00C208DC" w:rsidRPr="007B2920" w14:paraId="18A496FA" w14:textId="77777777" w:rsidTr="007B0BB0">
        <w:trPr>
          <w:jc w:val="center"/>
        </w:trPr>
        <w:tc>
          <w:tcPr>
            <w:tcW w:w="5006" w:type="dxa"/>
            <w:tcBorders>
              <w:top w:val="single" w:sz="4" w:space="0" w:color="auto"/>
              <w:bottom w:val="single" w:sz="4" w:space="0" w:color="auto"/>
              <w:right w:val="single" w:sz="4" w:space="0" w:color="auto"/>
            </w:tcBorders>
          </w:tcPr>
          <w:p w14:paraId="15B5E1DB" w14:textId="77777777" w:rsidR="00B52DCC" w:rsidRPr="007B2920" w:rsidRDefault="00B52DCC" w:rsidP="007B2920">
            <w:pPr>
              <w:ind w:firstLine="720"/>
            </w:pPr>
          </w:p>
          <w:p w14:paraId="7DA651D7" w14:textId="77777777" w:rsidR="00B52DCC" w:rsidRPr="007B2920" w:rsidRDefault="00670596" w:rsidP="00D0419E">
            <w:pPr>
              <w:spacing w:before="120"/>
              <w:ind w:left="180" w:right="270"/>
            </w:pPr>
            <w:r w:rsidRPr="007B2920">
              <w:t>SJUNDE AP-FONDEN and THE CLEVELAND BAKERS AND TEAMSTERS PENSION FUND, individually and on behalf of all others similarly situated,</w:t>
            </w:r>
          </w:p>
          <w:p w14:paraId="709EA9A7" w14:textId="77777777" w:rsidR="00B52DCC" w:rsidRPr="007B2920" w:rsidRDefault="00670596" w:rsidP="00D0419E">
            <w:pPr>
              <w:spacing w:before="120"/>
              <w:ind w:left="1440" w:right="21" w:firstLine="720"/>
            </w:pPr>
            <w:r w:rsidRPr="007B2920">
              <w:t>Plaintiffs,</w:t>
            </w:r>
          </w:p>
          <w:p w14:paraId="11DF51F3" w14:textId="77777777" w:rsidR="00B52DCC" w:rsidRPr="007B2920" w:rsidRDefault="00670596" w:rsidP="00D0419E">
            <w:pPr>
              <w:spacing w:before="120"/>
              <w:ind w:left="235" w:right="21" w:firstLine="485"/>
            </w:pPr>
            <w:r w:rsidRPr="007B2920">
              <w:t>v.</w:t>
            </w:r>
          </w:p>
          <w:p w14:paraId="3F578881" w14:textId="77777777" w:rsidR="00B52DCC" w:rsidRPr="007B2920" w:rsidRDefault="00670596" w:rsidP="00D0419E">
            <w:pPr>
              <w:spacing w:before="120"/>
              <w:ind w:left="180" w:right="180"/>
            </w:pPr>
            <w:r w:rsidRPr="007B2920">
              <w:t>GENERAL ELECTRIC COMPANY, et al.,</w:t>
            </w:r>
          </w:p>
          <w:p w14:paraId="11BF92B1" w14:textId="77777777" w:rsidR="00B52DCC" w:rsidRPr="007B2920" w:rsidRDefault="00670596" w:rsidP="00D0419E">
            <w:pPr>
              <w:spacing w:before="120"/>
              <w:ind w:left="2160" w:right="452"/>
            </w:pPr>
            <w:r w:rsidRPr="007B2920">
              <w:t>Defendants.</w:t>
            </w:r>
          </w:p>
          <w:p w14:paraId="7D6B5349" w14:textId="77777777" w:rsidR="00B52DCC" w:rsidRPr="007B2920" w:rsidRDefault="00B52DCC" w:rsidP="007B2920">
            <w:pPr>
              <w:ind w:right="452"/>
            </w:pPr>
          </w:p>
        </w:tc>
        <w:tc>
          <w:tcPr>
            <w:tcW w:w="268" w:type="dxa"/>
            <w:tcBorders>
              <w:left w:val="single" w:sz="4" w:space="0" w:color="auto"/>
            </w:tcBorders>
          </w:tcPr>
          <w:p w14:paraId="19670032" w14:textId="77777777" w:rsidR="00B52DCC" w:rsidRPr="007B2920" w:rsidRDefault="00B52DCC" w:rsidP="007B2920">
            <w:pPr>
              <w:ind w:firstLine="720"/>
            </w:pPr>
          </w:p>
        </w:tc>
        <w:tc>
          <w:tcPr>
            <w:tcW w:w="3978" w:type="dxa"/>
          </w:tcPr>
          <w:p w14:paraId="1F7F4E90" w14:textId="77777777" w:rsidR="00B52DCC" w:rsidRPr="007B2920" w:rsidRDefault="00B52DCC" w:rsidP="007B2920"/>
          <w:p w14:paraId="71F5C054" w14:textId="77777777" w:rsidR="00B52DCC" w:rsidRPr="007B2920" w:rsidRDefault="00B52DCC" w:rsidP="007B2920"/>
          <w:p w14:paraId="7BE0446F" w14:textId="77777777" w:rsidR="00B52DCC" w:rsidRPr="007B2920" w:rsidRDefault="00B52DCC" w:rsidP="007B2920"/>
          <w:p w14:paraId="65AE4225" w14:textId="77777777" w:rsidR="00B52DCC" w:rsidRPr="007B2920" w:rsidRDefault="00670596" w:rsidP="007B2920">
            <w:pPr>
              <w:rPr>
                <w:b/>
                <w:u w:val="single"/>
              </w:rPr>
            </w:pPr>
            <w:r w:rsidRPr="007B2920">
              <w:rPr>
                <w:rFonts w:eastAsia="Helvetica"/>
              </w:rPr>
              <w:t>Case No. 1:17-cv-8457-JMF</w:t>
            </w:r>
          </w:p>
          <w:p w14:paraId="692C6DF7" w14:textId="77777777" w:rsidR="00B52DCC" w:rsidRPr="007B2920" w:rsidRDefault="00B52DCC" w:rsidP="007B2920">
            <w:pPr>
              <w:rPr>
                <w:b/>
                <w:u w:val="single"/>
              </w:rPr>
            </w:pPr>
          </w:p>
          <w:p w14:paraId="6883857A" w14:textId="77777777" w:rsidR="00B52DCC" w:rsidRPr="007B2920" w:rsidRDefault="00670596" w:rsidP="007B2920">
            <w:r w:rsidRPr="007B2920">
              <w:t>Hon. Jesse M. Furman</w:t>
            </w:r>
          </w:p>
        </w:tc>
      </w:tr>
    </w:tbl>
    <w:p w14:paraId="09A79E2A" w14:textId="77777777" w:rsidR="008B1B77" w:rsidRPr="007B2920" w:rsidRDefault="008B1B77" w:rsidP="007B2920">
      <w:pPr>
        <w:rPr>
          <w:sz w:val="28"/>
          <w:szCs w:val="28"/>
        </w:rPr>
      </w:pPr>
    </w:p>
    <w:p w14:paraId="4F50D6D0" w14:textId="77777777" w:rsidR="00B52DCC" w:rsidRPr="007B2920" w:rsidRDefault="00670596" w:rsidP="007B2920">
      <w:pPr>
        <w:pStyle w:val="Title"/>
        <w:rPr>
          <w:rFonts w:cs="Times New Roman"/>
          <w:u w:val="none"/>
        </w:rPr>
      </w:pPr>
      <w:r w:rsidRPr="007B2920">
        <w:rPr>
          <w:rFonts w:cs="Times New Roman"/>
          <w:u w:val="none"/>
        </w:rPr>
        <w:t xml:space="preserve">NOTICE OF (I) PROPOSED SETTLEMENT; (II) SETTLEMENT HEARING; AND </w:t>
      </w:r>
    </w:p>
    <w:p w14:paraId="7BD8B160" w14:textId="45ACAF46" w:rsidR="008B1B77" w:rsidRPr="007B2920" w:rsidRDefault="00670596" w:rsidP="007B2920">
      <w:pPr>
        <w:pStyle w:val="Title"/>
        <w:rPr>
          <w:rFonts w:cs="Times New Roman"/>
        </w:rPr>
      </w:pPr>
      <w:r w:rsidRPr="007B2920">
        <w:rPr>
          <w:rFonts w:cs="Times New Roman"/>
        </w:rPr>
        <w:t>(III) MOTION FOR ATTORNEYS’ FEES AND LITIGATION EXPENSES</w:t>
      </w:r>
    </w:p>
    <w:p w14:paraId="77716FF3" w14:textId="77777777" w:rsidR="00B52DCC" w:rsidRPr="007B2920" w:rsidRDefault="00B52DCC" w:rsidP="007B2920">
      <w:pPr>
        <w:autoSpaceDE w:val="0"/>
        <w:autoSpaceDN w:val="0"/>
        <w:adjustRightInd w:val="0"/>
        <w:rPr>
          <w:color w:val="000000"/>
        </w:rPr>
      </w:pPr>
    </w:p>
    <w:p w14:paraId="03936A98" w14:textId="1A903C18" w:rsidR="00B52DCC" w:rsidRPr="007B2920" w:rsidRDefault="00670596" w:rsidP="007B2920">
      <w:pPr>
        <w:pStyle w:val="Title"/>
        <w:ind w:left="720" w:right="576" w:hanging="720"/>
        <w:jc w:val="both"/>
        <w:rPr>
          <w:rFonts w:cs="Times New Roman"/>
          <w:bCs/>
          <w:color w:val="000000"/>
          <w:u w:val="none"/>
        </w:rPr>
      </w:pPr>
      <w:r w:rsidRPr="007B2920">
        <w:rPr>
          <w:rFonts w:cs="Times New Roman"/>
          <w:bCs/>
          <w:color w:val="000000"/>
          <w:u w:val="none"/>
        </w:rPr>
        <w:t xml:space="preserve">TO: </w:t>
      </w:r>
      <w:r w:rsidRPr="007B2920">
        <w:rPr>
          <w:rFonts w:cs="Times New Roman"/>
          <w:bCs/>
          <w:color w:val="000000"/>
          <w:u w:val="none"/>
        </w:rPr>
        <w:tab/>
        <w:t xml:space="preserve">ALL PERSONS AND ENTITIES WHO PURCHASED OR ACQUIRED GENERAL ELECTRIC COMPANY (“GE”) COMMON STOCK BETWEEN FEBRUARY 29, </w:t>
      </w:r>
      <w:proofErr w:type="gramStart"/>
      <w:r w:rsidRPr="007B2920">
        <w:rPr>
          <w:rFonts w:cs="Times New Roman"/>
          <w:bCs/>
          <w:color w:val="000000"/>
          <w:u w:val="none"/>
        </w:rPr>
        <w:t>2016</w:t>
      </w:r>
      <w:proofErr w:type="gramEnd"/>
      <w:r w:rsidRPr="007B2920">
        <w:rPr>
          <w:rFonts w:cs="Times New Roman"/>
          <w:bCs/>
          <w:color w:val="000000"/>
          <w:u w:val="none"/>
        </w:rPr>
        <w:t xml:space="preserve"> AND JANUARY 23, 2018, INCLUSIVE </w:t>
      </w:r>
      <w:r w:rsidR="00193793" w:rsidRPr="007B2920">
        <w:rPr>
          <w:rFonts w:cs="Times New Roman"/>
          <w:bCs/>
          <w:color w:val="000000"/>
          <w:u w:val="none"/>
        </w:rPr>
        <w:t xml:space="preserve">(“CLASS PERIOD”) </w:t>
      </w:r>
      <w:r w:rsidRPr="007B2920">
        <w:rPr>
          <w:rFonts w:cs="Times New Roman"/>
          <w:bCs/>
          <w:color w:val="000000"/>
          <w:u w:val="none"/>
        </w:rPr>
        <w:t>AND WERE DAMAGED THEREBY</w:t>
      </w:r>
      <w:r w:rsidR="00193793" w:rsidRPr="007B2920">
        <w:rPr>
          <w:rFonts w:cs="Times New Roman"/>
          <w:bCs/>
          <w:color w:val="000000"/>
          <w:u w:val="none"/>
        </w:rPr>
        <w:t xml:space="preserve"> (“CLASS”)</w:t>
      </w:r>
      <w:r w:rsidRPr="007B2920">
        <w:rPr>
          <w:rFonts w:cs="Times New Roman"/>
          <w:bCs/>
          <w:color w:val="000000"/>
          <w:u w:val="none"/>
        </w:rPr>
        <w:t>.</w:t>
      </w:r>
    </w:p>
    <w:p w14:paraId="03ECE4D3" w14:textId="77777777" w:rsidR="008B1B77" w:rsidRPr="007B2920" w:rsidRDefault="008B1B77" w:rsidP="007B2920">
      <w:pPr>
        <w:pStyle w:val="Title"/>
        <w:jc w:val="left"/>
        <w:rPr>
          <w:rFonts w:cs="Times New Roman"/>
          <w:u w:val="none"/>
        </w:rPr>
      </w:pPr>
    </w:p>
    <w:p w14:paraId="32132DC6" w14:textId="77777777" w:rsidR="008B1B77" w:rsidRPr="007B2920" w:rsidRDefault="00670596" w:rsidP="007B2920">
      <w:pPr>
        <w:pStyle w:val="Title"/>
        <w:rPr>
          <w:rFonts w:cs="Times New Roman"/>
          <w:caps/>
        </w:rPr>
      </w:pPr>
      <w:proofErr w:type="gramStart"/>
      <w:r w:rsidRPr="007B2920">
        <w:rPr>
          <w:rFonts w:cs="Times New Roman"/>
          <w:bCs/>
          <w:i/>
        </w:rPr>
        <w:t>A Federal</w:t>
      </w:r>
      <w:proofErr w:type="gramEnd"/>
      <w:r w:rsidRPr="007B2920">
        <w:rPr>
          <w:rFonts w:cs="Times New Roman"/>
          <w:bCs/>
          <w:i/>
        </w:rPr>
        <w:t xml:space="preserve"> Court authorized this Notice.  This is not a solicitation from a lawyer.</w:t>
      </w:r>
    </w:p>
    <w:p w14:paraId="0B1FF31C" w14:textId="77777777" w:rsidR="00E1724C" w:rsidRPr="007B2920" w:rsidRDefault="00E1724C" w:rsidP="007B2920">
      <w:pPr>
        <w:jc w:val="both"/>
        <w:rPr>
          <w:b/>
          <w:color w:val="000000"/>
        </w:rPr>
      </w:pPr>
    </w:p>
    <w:p w14:paraId="0FFD826A" w14:textId="5AD23A93" w:rsidR="00E1724C" w:rsidRDefault="00670596" w:rsidP="00FA5A1B">
      <w:pPr>
        <w:spacing w:before="180" w:after="180"/>
        <w:jc w:val="both"/>
      </w:pPr>
      <w:r w:rsidRPr="007B2920">
        <w:rPr>
          <w:b/>
          <w:bCs/>
          <w:smallCaps/>
        </w:rPr>
        <w:t>Notice of Proposed Settlement</w:t>
      </w:r>
      <w:r w:rsidRPr="007B2920">
        <w:rPr>
          <w:b/>
          <w:bCs/>
        </w:rPr>
        <w:t xml:space="preserve">:  </w:t>
      </w:r>
      <w:r w:rsidR="00B52DCC" w:rsidRPr="007B2920">
        <w:rPr>
          <w:color w:val="000000"/>
        </w:rPr>
        <w:t>This Notice has been issued pursuant to Rule 23 of the Federal Rules of Civil Procedure and an Order of the United States District Court for the Southern District of New York (“Court”).</w:t>
      </w:r>
      <w:r w:rsidRPr="007B2920">
        <w:rPr>
          <w:rStyle w:val="FootnoteReference"/>
        </w:rPr>
        <w:footnoteReference w:id="2"/>
      </w:r>
      <w:r w:rsidR="00B52DCC" w:rsidRPr="007B2920">
        <w:rPr>
          <w:color w:val="000000"/>
        </w:rPr>
        <w:t xml:space="preserve"> </w:t>
      </w:r>
      <w:r w:rsidRPr="007B2920">
        <w:rPr>
          <w:bCs/>
        </w:rPr>
        <w:t xml:space="preserve">Please </w:t>
      </w:r>
      <w:r w:rsidR="00B52DCC" w:rsidRPr="007B2920">
        <w:rPr>
          <w:bCs/>
        </w:rPr>
        <w:t>b</w:t>
      </w:r>
      <w:r w:rsidRPr="007B2920">
        <w:rPr>
          <w:bCs/>
        </w:rPr>
        <w:t xml:space="preserve">e advised that the Court-appointed </w:t>
      </w:r>
      <w:r w:rsidR="00B52DCC" w:rsidRPr="007B2920">
        <w:rPr>
          <w:bCs/>
        </w:rPr>
        <w:t>Class Representatives</w:t>
      </w:r>
      <w:r w:rsidRPr="007B2920">
        <w:rPr>
          <w:bCs/>
        </w:rPr>
        <w:t xml:space="preserve"> </w:t>
      </w:r>
      <w:proofErr w:type="spellStart"/>
      <w:r w:rsidR="00EB711A" w:rsidRPr="007B2920">
        <w:t>Sjunde</w:t>
      </w:r>
      <w:proofErr w:type="spellEnd"/>
      <w:r w:rsidR="00EB711A" w:rsidRPr="007B2920">
        <w:t xml:space="preserve"> AP-</w:t>
      </w:r>
      <w:proofErr w:type="spellStart"/>
      <w:r w:rsidR="00EB711A" w:rsidRPr="007B2920">
        <w:t>Fonden</w:t>
      </w:r>
      <w:proofErr w:type="spellEnd"/>
      <w:r w:rsidR="00EB711A" w:rsidRPr="007B2920">
        <w:t xml:space="preserve"> </w:t>
      </w:r>
      <w:r w:rsidR="001323AB" w:rsidRPr="007B2920">
        <w:t xml:space="preserve">(“AP7”) </w:t>
      </w:r>
      <w:r w:rsidR="00EB711A" w:rsidRPr="007B2920">
        <w:t xml:space="preserve">and </w:t>
      </w:r>
      <w:r w:rsidR="00B52DCC" w:rsidRPr="007B2920">
        <w:t>The Cleveland Bakers and Teamsters Pension Fund (</w:t>
      </w:r>
      <w:r w:rsidR="001323AB" w:rsidRPr="007B2920">
        <w:t>“Cleve</w:t>
      </w:r>
      <w:r w:rsidR="005D0D9B" w:rsidRPr="007B2920">
        <w:t>land</w:t>
      </w:r>
      <w:r w:rsidR="001323AB" w:rsidRPr="007B2920">
        <w:t xml:space="preserve"> Bakers</w:t>
      </w:r>
      <w:r w:rsidR="004006C7" w:rsidRPr="007B2920">
        <w:t>”</w:t>
      </w:r>
      <w:r w:rsidR="001323AB" w:rsidRPr="007B2920">
        <w:t xml:space="preserve"> and </w:t>
      </w:r>
      <w:r w:rsidR="00B52DCC" w:rsidRPr="007B2920">
        <w:t>together</w:t>
      </w:r>
      <w:r w:rsidR="001323AB" w:rsidRPr="007B2920">
        <w:t xml:space="preserve"> with AP7</w:t>
      </w:r>
      <w:r w:rsidR="00B52DCC" w:rsidRPr="007B2920">
        <w:t xml:space="preserve">, </w:t>
      </w:r>
      <w:r w:rsidR="00190448" w:rsidRPr="007B2920">
        <w:t>“</w:t>
      </w:r>
      <w:r w:rsidR="00B52DCC" w:rsidRPr="007B2920">
        <w:t>Class Representatives</w:t>
      </w:r>
      <w:r w:rsidR="00190448" w:rsidRPr="007B2920">
        <w:t>”</w:t>
      </w:r>
      <w:r w:rsidR="00B52DCC" w:rsidRPr="007B2920">
        <w:t xml:space="preserve">) </w:t>
      </w:r>
      <w:r w:rsidR="001D2EFB" w:rsidRPr="007B2920">
        <w:t xml:space="preserve">have reached a proposed settlement of the </w:t>
      </w:r>
      <w:r w:rsidR="00B52DCC" w:rsidRPr="007B2920">
        <w:t>above-captioned securities class action (“</w:t>
      </w:r>
      <w:r w:rsidR="001D2EFB" w:rsidRPr="007B2920">
        <w:t>Action</w:t>
      </w:r>
      <w:r w:rsidR="00B52DCC" w:rsidRPr="007B2920">
        <w:t>”)</w:t>
      </w:r>
      <w:r w:rsidR="001D2EFB" w:rsidRPr="007B2920">
        <w:t xml:space="preserve"> for </w:t>
      </w:r>
      <w:r w:rsidR="001D2EFB" w:rsidRPr="007B2920">
        <w:rPr>
          <w:b/>
          <w:bCs/>
        </w:rPr>
        <w:t>$</w:t>
      </w:r>
      <w:r w:rsidR="00B52DCC" w:rsidRPr="007B2920">
        <w:rPr>
          <w:b/>
          <w:bCs/>
        </w:rPr>
        <w:t>362,500,000</w:t>
      </w:r>
      <w:r w:rsidR="001D2EFB" w:rsidRPr="007B2920">
        <w:t xml:space="preserve"> in cash (“Settlement”) with</w:t>
      </w:r>
      <w:r w:rsidR="00231E86" w:rsidRPr="007B2920">
        <w:t xml:space="preserve"> </w:t>
      </w:r>
      <w:r w:rsidR="00EB711A" w:rsidRPr="007B2920">
        <w:t xml:space="preserve">defendants </w:t>
      </w:r>
      <w:r w:rsidR="00B52DCC" w:rsidRPr="007B2920">
        <w:t xml:space="preserve">GE and </w:t>
      </w:r>
      <w:bookmarkStart w:id="1" w:name="_Hlk181537450"/>
      <w:r w:rsidR="00B52DCC" w:rsidRPr="007B2920">
        <w:t>Jeffrey S. Bornstein</w:t>
      </w:r>
      <w:bookmarkEnd w:id="1"/>
      <w:r w:rsidR="00B52DCC" w:rsidRPr="007B2920">
        <w:t xml:space="preserve"> (together</w:t>
      </w:r>
      <w:r w:rsidR="00EB711A" w:rsidRPr="007B2920">
        <w:t xml:space="preserve">, </w:t>
      </w:r>
      <w:r w:rsidR="00B52DCC" w:rsidRPr="007B2920">
        <w:t>“</w:t>
      </w:r>
      <w:r w:rsidR="00EB711A" w:rsidRPr="007B2920">
        <w:t>Defendants”</w:t>
      </w:r>
      <w:r w:rsidR="00193793" w:rsidRPr="007B2920">
        <w:t>)</w:t>
      </w:r>
      <w:r w:rsidRPr="007B2920">
        <w:t xml:space="preserve">. </w:t>
      </w:r>
      <w:r w:rsidR="00944ECF" w:rsidRPr="007B2920">
        <w:t>If approved by the Court, t</w:t>
      </w:r>
      <w:r w:rsidRPr="007B2920">
        <w:t xml:space="preserve">he Settlement </w:t>
      </w:r>
      <w:r w:rsidR="00944ECF" w:rsidRPr="007B2920">
        <w:t xml:space="preserve">will </w:t>
      </w:r>
      <w:r w:rsidRPr="007B2920">
        <w:t>resolve</w:t>
      </w:r>
      <w:r w:rsidR="00944ECF" w:rsidRPr="007B2920">
        <w:t xml:space="preserve"> </w:t>
      </w:r>
      <w:r w:rsidR="00193793" w:rsidRPr="007B2920">
        <w:t xml:space="preserve">all claims in </w:t>
      </w:r>
      <w:r w:rsidR="00944ECF" w:rsidRPr="007B2920">
        <w:t>the Action, in</w:t>
      </w:r>
      <w:r w:rsidR="005B22C5" w:rsidRPr="007B2920">
        <w:t>cluding</w:t>
      </w:r>
      <w:r w:rsidRPr="007B2920">
        <w:t xml:space="preserve"> </w:t>
      </w:r>
      <w:r w:rsidR="00193793" w:rsidRPr="007B2920">
        <w:t xml:space="preserve">Class Representatives’ </w:t>
      </w:r>
      <w:r w:rsidRPr="007B2920">
        <w:t xml:space="preserve">claims that Defendants violated the federal securities laws by making </w:t>
      </w:r>
      <w:r w:rsidR="00231E86" w:rsidRPr="007B2920">
        <w:t>materially false or misleading statements and omissions during the Class Period</w:t>
      </w:r>
      <w:r w:rsidR="00193793" w:rsidRPr="007B2920">
        <w:t xml:space="preserve"> regarding, among other things, GE’s reliance on intercompany factoring transactions to offset weaknesses in GE Power’s cash flows from operations</w:t>
      </w:r>
      <w:r w:rsidR="00231E86" w:rsidRPr="007B2920">
        <w:t xml:space="preserve">. </w:t>
      </w:r>
      <w:r w:rsidRPr="007B2920">
        <w:t xml:space="preserve">The history of the Action and the claims being released by the Settlement are detailed in ¶¶ </w:t>
      </w:r>
      <w:r w:rsidR="002143C0" w:rsidRPr="007B2920">
        <w:t>4</w:t>
      </w:r>
      <w:r w:rsidR="00193793" w:rsidRPr="007B2920">
        <w:t>-</w:t>
      </w:r>
      <w:r w:rsidR="002143C0" w:rsidRPr="007B2920">
        <w:t>32</w:t>
      </w:r>
      <w:r w:rsidRPr="007B2920">
        <w:t xml:space="preserve"> and ¶¶ </w:t>
      </w:r>
      <w:r w:rsidR="002143C0" w:rsidRPr="007B2920">
        <w:t>44</w:t>
      </w:r>
      <w:r w:rsidR="00193793" w:rsidRPr="007B2920">
        <w:t>-</w:t>
      </w:r>
      <w:r w:rsidR="002143C0" w:rsidRPr="007B2920">
        <w:t>50</w:t>
      </w:r>
      <w:r w:rsidRPr="007B2920">
        <w:t xml:space="preserve"> herein.</w:t>
      </w:r>
    </w:p>
    <w:p w14:paraId="0B80CE7D" w14:textId="56E3F8B3" w:rsidR="00E1724C" w:rsidRPr="007B2920" w:rsidRDefault="00670596" w:rsidP="00FA5A1B">
      <w:pPr>
        <w:spacing w:before="180" w:after="180"/>
        <w:jc w:val="both"/>
        <w:rPr>
          <w:b/>
        </w:rPr>
      </w:pPr>
      <w:r w:rsidRPr="007B2920">
        <w:rPr>
          <w:b/>
          <w:bCs/>
        </w:rPr>
        <w:lastRenderedPageBreak/>
        <w:t>PLEASE READ THIS NOTICE CAREFULLY.</w:t>
      </w:r>
      <w:r w:rsidRPr="007B2920">
        <w:rPr>
          <w:b/>
          <w:bCs/>
          <w:smallCaps/>
        </w:rPr>
        <w:t xml:space="preserve">  </w:t>
      </w:r>
      <w:r w:rsidRPr="007B2920">
        <w:rPr>
          <w:b/>
          <w:bCs/>
        </w:rPr>
        <w:t>This Notice explains important rights you may have, including the possible receipt of a payment from the Settlement. If you are a member of the Class, y</w:t>
      </w:r>
      <w:r w:rsidRPr="007B2920">
        <w:rPr>
          <w:b/>
        </w:rPr>
        <w:t xml:space="preserve">our legal rights will be affected </w:t>
      </w:r>
      <w:proofErr w:type="gramStart"/>
      <w:r w:rsidRPr="007B2920">
        <w:rPr>
          <w:b/>
        </w:rPr>
        <w:t>whether or not</w:t>
      </w:r>
      <w:proofErr w:type="gramEnd"/>
      <w:r w:rsidRPr="007B2920">
        <w:rPr>
          <w:b/>
        </w:rPr>
        <w:t xml:space="preserve"> you act.</w:t>
      </w:r>
    </w:p>
    <w:p w14:paraId="44162139" w14:textId="4E1E0CB7" w:rsidR="008B1B77" w:rsidRPr="007B2920" w:rsidRDefault="00670596" w:rsidP="00FA5A1B">
      <w:pPr>
        <w:spacing w:before="180" w:after="180"/>
        <w:jc w:val="both"/>
        <w:rPr>
          <w:b/>
        </w:rPr>
      </w:pPr>
      <w:r w:rsidRPr="007B2920">
        <w:rPr>
          <w:b/>
        </w:rPr>
        <w:t xml:space="preserve">If you have questions about this Notice, the proposed Settlement, or your eligibility to participate in the Settlement, please DO NOT contact the Court, the Clerk’s Office, Defendants, or Defendants’ Counsel. All questions should be directed to the Claims Administrator or </w:t>
      </w:r>
      <w:r w:rsidR="00193793" w:rsidRPr="007B2920">
        <w:rPr>
          <w:b/>
        </w:rPr>
        <w:t>Class</w:t>
      </w:r>
      <w:r w:rsidRPr="007B2920">
        <w:rPr>
          <w:b/>
        </w:rPr>
        <w:t xml:space="preserve"> Counsel (</w:t>
      </w:r>
      <w:r w:rsidRPr="007B2920">
        <w:rPr>
          <w:b/>
          <w:i/>
        </w:rPr>
        <w:t>see</w:t>
      </w:r>
      <w:r w:rsidRPr="007B2920">
        <w:rPr>
          <w:b/>
        </w:rPr>
        <w:t xml:space="preserve"> ¶ </w:t>
      </w:r>
      <w:r w:rsidR="002143C0" w:rsidRPr="007B2920">
        <w:rPr>
          <w:b/>
        </w:rPr>
        <w:t>83</w:t>
      </w:r>
      <w:r w:rsidRPr="007B2920">
        <w:rPr>
          <w:b/>
        </w:rPr>
        <w:t xml:space="preserve"> below).   </w:t>
      </w:r>
    </w:p>
    <w:p w14:paraId="09C1066E" w14:textId="186CC258" w:rsidR="008B1B77" w:rsidRPr="007B2920" w:rsidRDefault="00670596" w:rsidP="00FA5A1B">
      <w:pPr>
        <w:spacing w:before="180" w:after="180"/>
        <w:jc w:val="center"/>
        <w:rPr>
          <w:b/>
        </w:rPr>
      </w:pPr>
      <w:r w:rsidRPr="007B2920">
        <w:rPr>
          <w:b/>
        </w:rPr>
        <w:t>Additional information about the Settlement is available on the website</w:t>
      </w:r>
      <w:r w:rsidR="00996210" w:rsidRPr="007B2920">
        <w:rPr>
          <w:b/>
        </w:rPr>
        <w:t xml:space="preserve"> for the Action</w:t>
      </w:r>
      <w:r w:rsidRPr="007B2920">
        <w:rPr>
          <w:b/>
        </w:rPr>
        <w:t xml:space="preserve">, </w:t>
      </w:r>
      <w:r w:rsidRPr="007B2920">
        <w:rPr>
          <w:b/>
          <w:u w:val="single"/>
        </w:rPr>
        <w:t>www.</w:t>
      </w:r>
      <w:r w:rsidR="00193793" w:rsidRPr="007B2920">
        <w:rPr>
          <w:b/>
          <w:u w:val="single"/>
        </w:rPr>
        <w:t>GeneralElectric</w:t>
      </w:r>
      <w:r w:rsidR="00190448" w:rsidRPr="007B2920">
        <w:rPr>
          <w:b/>
          <w:u w:val="single"/>
        </w:rPr>
        <w:t>Securities</w:t>
      </w:r>
      <w:r w:rsidRPr="007B2920">
        <w:rPr>
          <w:b/>
          <w:u w:val="single"/>
        </w:rPr>
        <w:t>Litigation.com</w:t>
      </w:r>
      <w:r w:rsidRPr="007B2920">
        <w:rPr>
          <w:b/>
        </w:rPr>
        <w:t>.</w:t>
      </w:r>
    </w:p>
    <w:p w14:paraId="18B85972" w14:textId="66493313" w:rsidR="008B1B77" w:rsidRPr="007B2920" w:rsidRDefault="00670596" w:rsidP="00FA5A1B">
      <w:pPr>
        <w:pStyle w:val="Heading1"/>
        <w:numPr>
          <w:ilvl w:val="0"/>
          <w:numId w:val="15"/>
        </w:numPr>
        <w:spacing w:before="180" w:after="180"/>
        <w:ind w:left="0" w:firstLine="360"/>
        <w:rPr>
          <w:color w:val="000000"/>
        </w:rPr>
      </w:pPr>
      <w:r w:rsidRPr="007B2920">
        <w:rPr>
          <w:b/>
          <w:u w:val="single"/>
        </w:rPr>
        <w:t xml:space="preserve">Statement of the </w:t>
      </w:r>
      <w:r w:rsidRPr="007B2920">
        <w:rPr>
          <w:b/>
          <w:u w:val="single"/>
          <w:lang w:val="en-US"/>
        </w:rPr>
        <w:t>Class</w:t>
      </w:r>
      <w:r w:rsidRPr="007B2920">
        <w:rPr>
          <w:b/>
          <w:u w:val="single"/>
        </w:rPr>
        <w:t>’s Recovery</w:t>
      </w:r>
      <w:r w:rsidR="00996210" w:rsidRPr="007B2920">
        <w:rPr>
          <w:b/>
        </w:rPr>
        <w:t xml:space="preserve">: </w:t>
      </w:r>
      <w:r w:rsidRPr="007B2920">
        <w:t xml:space="preserve">Subject to </w:t>
      </w:r>
      <w:r w:rsidRPr="007B2920">
        <w:rPr>
          <w:lang w:val="en-US"/>
        </w:rPr>
        <w:t xml:space="preserve">Court </w:t>
      </w:r>
      <w:r w:rsidRPr="007B2920">
        <w:t>approval,</w:t>
      </w:r>
      <w:r w:rsidR="004F14EA" w:rsidRPr="007B2920">
        <w:rPr>
          <w:lang w:val="en-US"/>
        </w:rPr>
        <w:t xml:space="preserve"> </w:t>
      </w:r>
      <w:r w:rsidR="00193793" w:rsidRPr="007B2920">
        <w:rPr>
          <w:lang w:val="en-US"/>
        </w:rPr>
        <w:t>Class Representatives</w:t>
      </w:r>
      <w:r w:rsidRPr="007B2920">
        <w:t xml:space="preserve">, on behalf </w:t>
      </w:r>
      <w:r w:rsidRPr="007B2920">
        <w:rPr>
          <w:lang w:val="en-US"/>
        </w:rPr>
        <w:t xml:space="preserve">of </w:t>
      </w:r>
      <w:r w:rsidR="00866489" w:rsidRPr="007B2920">
        <w:rPr>
          <w:lang w:val="en-US"/>
        </w:rPr>
        <w:t>themselves</w:t>
      </w:r>
      <w:r w:rsidRPr="007B2920">
        <w:t xml:space="preserve"> and the </w:t>
      </w:r>
      <w:r w:rsidRPr="007B2920">
        <w:rPr>
          <w:lang w:val="en-US"/>
        </w:rPr>
        <w:t>Class</w:t>
      </w:r>
      <w:r w:rsidRPr="007B2920">
        <w:t>, ha</w:t>
      </w:r>
      <w:r w:rsidR="00866489" w:rsidRPr="007B2920">
        <w:rPr>
          <w:lang w:val="en-US"/>
        </w:rPr>
        <w:t>ve</w:t>
      </w:r>
      <w:r w:rsidRPr="007B2920">
        <w:t xml:space="preserve"> agreed to settle </w:t>
      </w:r>
      <w:r w:rsidRPr="007B2920">
        <w:rPr>
          <w:lang w:val="en-US"/>
        </w:rPr>
        <w:t xml:space="preserve">the Action </w:t>
      </w:r>
      <w:r w:rsidRPr="007B2920">
        <w:t xml:space="preserve">in exchange for </w:t>
      </w:r>
      <w:r w:rsidRPr="007B2920">
        <w:rPr>
          <w:lang w:val="en-US"/>
        </w:rPr>
        <w:t xml:space="preserve">a settlement payment of </w:t>
      </w:r>
      <w:r w:rsidRPr="007B2920">
        <w:t>$</w:t>
      </w:r>
      <w:r w:rsidR="00193793" w:rsidRPr="007B2920">
        <w:rPr>
          <w:lang w:val="en-US"/>
        </w:rPr>
        <w:t>362,500</w:t>
      </w:r>
      <w:r w:rsidR="004F14EA" w:rsidRPr="007B2920">
        <w:rPr>
          <w:lang w:val="en-US"/>
        </w:rPr>
        <w:t>,000</w:t>
      </w:r>
      <w:r w:rsidRPr="007B2920">
        <w:t xml:space="preserve"> in cash</w:t>
      </w:r>
      <w:r w:rsidRPr="007B2920">
        <w:rPr>
          <w:lang w:val="en-US"/>
        </w:rPr>
        <w:t xml:space="preserve"> (“Settlement Amount”) to</w:t>
      </w:r>
      <w:r w:rsidRPr="007B2920">
        <w:t xml:space="preserve"> be deposited into </w:t>
      </w:r>
      <w:r w:rsidRPr="007B2920">
        <w:rPr>
          <w:lang w:val="en-US"/>
        </w:rPr>
        <w:t xml:space="preserve">an </w:t>
      </w:r>
      <w:r w:rsidRPr="007B2920">
        <w:t xml:space="preserve">escrow </w:t>
      </w:r>
      <w:r w:rsidRPr="007B2920">
        <w:rPr>
          <w:lang w:val="en-US"/>
        </w:rPr>
        <w:t>account</w:t>
      </w:r>
      <w:r w:rsidRPr="007B2920">
        <w:t>.</w:t>
      </w:r>
      <w:r w:rsidRPr="007B2920">
        <w:rPr>
          <w:lang w:val="en-US"/>
        </w:rPr>
        <w:t xml:space="preserve"> </w:t>
      </w:r>
      <w:r w:rsidRPr="007B2920">
        <w:t xml:space="preserve">The </w:t>
      </w:r>
      <w:r w:rsidRPr="007B2920">
        <w:rPr>
          <w:color w:val="000000"/>
        </w:rPr>
        <w:t>Net Settlement Fund (</w:t>
      </w:r>
      <w:r w:rsidRPr="007B2920">
        <w:rPr>
          <w:i/>
          <w:color w:val="000000"/>
        </w:rPr>
        <w:t>i.e.</w:t>
      </w:r>
      <w:r w:rsidRPr="007B2920">
        <w:rPr>
          <w:color w:val="000000"/>
        </w:rPr>
        <w:t xml:space="preserve">, the Settlement Amount plus any </w:t>
      </w:r>
      <w:r w:rsidRPr="007B2920">
        <w:rPr>
          <w:color w:val="000000"/>
          <w:lang w:val="en-US"/>
        </w:rPr>
        <w:t xml:space="preserve">and all </w:t>
      </w:r>
      <w:r w:rsidRPr="007B2920">
        <w:rPr>
          <w:color w:val="000000"/>
        </w:rPr>
        <w:t>interest</w:t>
      </w:r>
      <w:r w:rsidRPr="007B2920">
        <w:rPr>
          <w:color w:val="000000"/>
          <w:lang w:val="en-US"/>
        </w:rPr>
        <w:t xml:space="preserve"> earned</w:t>
      </w:r>
      <w:r w:rsidRPr="007B2920">
        <w:rPr>
          <w:color w:val="000000"/>
        </w:rPr>
        <w:t xml:space="preserve"> </w:t>
      </w:r>
      <w:r w:rsidRPr="007B2920">
        <w:rPr>
          <w:lang w:val="en-US"/>
        </w:rPr>
        <w:t>thereon</w:t>
      </w:r>
      <w:r w:rsidR="006C1168" w:rsidRPr="007B2920">
        <w:rPr>
          <w:lang w:val="en-US"/>
        </w:rPr>
        <w:t xml:space="preserve"> </w:t>
      </w:r>
      <w:r w:rsidRPr="007B2920">
        <w:rPr>
          <w:color w:val="000000"/>
        </w:rPr>
        <w:t>(“Settlement Fund”) less</w:t>
      </w:r>
      <w:r w:rsidRPr="007B2920">
        <w:rPr>
          <w:color w:val="000000"/>
          <w:lang w:val="en-US"/>
        </w:rPr>
        <w:t>:</w:t>
      </w:r>
      <w:r w:rsidRPr="007B2920">
        <w:rPr>
          <w:color w:val="000000"/>
        </w:rPr>
        <w:t xml:space="preserve"> (</w:t>
      </w:r>
      <w:proofErr w:type="spellStart"/>
      <w:r w:rsidRPr="007B2920">
        <w:rPr>
          <w:color w:val="000000"/>
          <w:lang w:val="en-US"/>
        </w:rPr>
        <w:t>i</w:t>
      </w:r>
      <w:proofErr w:type="spellEnd"/>
      <w:r w:rsidRPr="007B2920">
        <w:rPr>
          <w:color w:val="000000"/>
          <w:lang w:val="en-US"/>
        </w:rPr>
        <w:t xml:space="preserve">) </w:t>
      </w:r>
      <w:r w:rsidRPr="007B2920">
        <w:rPr>
          <w:color w:val="000000"/>
        </w:rPr>
        <w:t>any Taxes</w:t>
      </w:r>
      <w:r w:rsidRPr="007B2920">
        <w:rPr>
          <w:color w:val="000000"/>
          <w:lang w:val="en-US"/>
        </w:rPr>
        <w:t>;</w:t>
      </w:r>
      <w:r w:rsidRPr="007B2920">
        <w:rPr>
          <w:color w:val="000000"/>
        </w:rPr>
        <w:t xml:space="preserve"> </w:t>
      </w:r>
      <w:r w:rsidRPr="007B2920">
        <w:rPr>
          <w:color w:val="000000"/>
          <w:lang w:val="en-US"/>
        </w:rPr>
        <w:t xml:space="preserve">(ii) </w:t>
      </w:r>
      <w:r w:rsidRPr="007B2920">
        <w:rPr>
          <w:color w:val="000000"/>
        </w:rPr>
        <w:t>any Notice and Administration</w:t>
      </w:r>
      <w:r w:rsidRPr="007B2920">
        <w:rPr>
          <w:color w:val="000000"/>
          <w:lang w:val="en-US"/>
        </w:rPr>
        <w:t xml:space="preserve"> Costs;</w:t>
      </w:r>
      <w:r w:rsidRPr="007B2920">
        <w:rPr>
          <w:color w:val="000000"/>
        </w:rPr>
        <w:t xml:space="preserve"> (</w:t>
      </w:r>
      <w:r w:rsidRPr="007B2920">
        <w:rPr>
          <w:color w:val="000000"/>
          <w:lang w:val="en-US"/>
        </w:rPr>
        <w:t>iii</w:t>
      </w:r>
      <w:r w:rsidRPr="007B2920">
        <w:rPr>
          <w:color w:val="000000"/>
        </w:rPr>
        <w:t>)</w:t>
      </w:r>
      <w:r w:rsidRPr="007B2920">
        <w:rPr>
          <w:color w:val="000000"/>
          <w:lang w:val="en-US"/>
        </w:rPr>
        <w:t> </w:t>
      </w:r>
      <w:r w:rsidRPr="007B2920">
        <w:rPr>
          <w:color w:val="000000"/>
        </w:rPr>
        <w:t>any Litigation Expenses</w:t>
      </w:r>
      <w:r w:rsidRPr="007B2920">
        <w:rPr>
          <w:color w:val="000000"/>
          <w:lang w:val="en-US"/>
        </w:rPr>
        <w:t xml:space="preserve"> awarded by the Court;</w:t>
      </w:r>
      <w:r w:rsidRPr="007B2920">
        <w:rPr>
          <w:color w:val="000000"/>
        </w:rPr>
        <w:t xml:space="preserve"> (</w:t>
      </w:r>
      <w:r w:rsidRPr="007B2920">
        <w:rPr>
          <w:color w:val="000000"/>
          <w:lang w:val="en-US"/>
        </w:rPr>
        <w:t>iv</w:t>
      </w:r>
      <w:r w:rsidRPr="007B2920">
        <w:rPr>
          <w:color w:val="000000"/>
        </w:rPr>
        <w:t>) any attorneys’ fees awarded by the Court</w:t>
      </w:r>
      <w:r w:rsidRPr="007B2920">
        <w:rPr>
          <w:color w:val="000000"/>
          <w:lang w:val="en-US"/>
        </w:rPr>
        <w:t>; and (v)</w:t>
      </w:r>
      <w:r w:rsidR="005B22C5" w:rsidRPr="007B2920">
        <w:rPr>
          <w:color w:val="000000"/>
          <w:lang w:val="en-US"/>
        </w:rPr>
        <w:t> </w:t>
      </w:r>
      <w:r w:rsidRPr="007B2920">
        <w:rPr>
          <w:color w:val="000000"/>
          <w:lang w:val="en-US"/>
        </w:rPr>
        <w:t>any other costs or fees approved by the Court</w:t>
      </w:r>
      <w:r w:rsidRPr="007B2920">
        <w:rPr>
          <w:color w:val="000000"/>
        </w:rPr>
        <w:t xml:space="preserve">) will be distributed in accordance with </w:t>
      </w:r>
      <w:r w:rsidRPr="007B2920">
        <w:rPr>
          <w:color w:val="000000"/>
          <w:lang w:val="en-US"/>
        </w:rPr>
        <w:t xml:space="preserve">a </w:t>
      </w:r>
      <w:r w:rsidRPr="007B2920">
        <w:rPr>
          <w:color w:val="000000"/>
        </w:rPr>
        <w:t xml:space="preserve">plan of allocation approved by the Court, which will determine how the Net Settlement Fund shall be allocated among </w:t>
      </w:r>
      <w:r w:rsidRPr="007B2920">
        <w:rPr>
          <w:color w:val="000000"/>
          <w:lang w:val="en-US"/>
        </w:rPr>
        <w:t>members of the Class</w:t>
      </w:r>
      <w:r w:rsidRPr="007B2920">
        <w:rPr>
          <w:color w:val="000000"/>
        </w:rPr>
        <w:t>.</w:t>
      </w:r>
      <w:r w:rsidRPr="007B2920">
        <w:rPr>
          <w:color w:val="000000"/>
          <w:lang w:val="en-US"/>
        </w:rPr>
        <w:t xml:space="preserve"> </w:t>
      </w:r>
      <w:r w:rsidRPr="007B2920">
        <w:rPr>
          <w:color w:val="000000"/>
        </w:rPr>
        <w:t xml:space="preserve">The proposed plan of allocation (“Plan of Allocation”) </w:t>
      </w:r>
      <w:r w:rsidRPr="007B2920">
        <w:rPr>
          <w:color w:val="000000"/>
          <w:lang w:val="en-US"/>
        </w:rPr>
        <w:t>is attached hereto as Appendix A</w:t>
      </w:r>
      <w:r w:rsidRPr="007B2920">
        <w:rPr>
          <w:color w:val="000000"/>
        </w:rPr>
        <w:t>.</w:t>
      </w:r>
    </w:p>
    <w:p w14:paraId="554F4712" w14:textId="71DAB739" w:rsidR="00193793" w:rsidRPr="007B2920" w:rsidRDefault="00670596" w:rsidP="00FA5A1B">
      <w:pPr>
        <w:pStyle w:val="Heading1"/>
        <w:numPr>
          <w:ilvl w:val="0"/>
          <w:numId w:val="15"/>
        </w:numPr>
        <w:spacing w:before="180" w:after="180"/>
        <w:ind w:left="0" w:firstLine="360"/>
        <w:rPr>
          <w:bCs w:val="0"/>
          <w:lang w:val="en-US"/>
        </w:rPr>
      </w:pPr>
      <w:bookmarkStart w:id="2" w:name="_Hlk183178560"/>
      <w:r w:rsidRPr="007B2920">
        <w:rPr>
          <w:b/>
          <w:u w:val="single"/>
        </w:rPr>
        <w:t>Estimate of Average Amount of Recovery Per Share</w:t>
      </w:r>
      <w:r w:rsidRPr="007B2920">
        <w:rPr>
          <w:b/>
        </w:rPr>
        <w:t>:</w:t>
      </w:r>
      <w:r w:rsidR="00996210" w:rsidRPr="007B2920">
        <w:t xml:space="preserve"> </w:t>
      </w:r>
      <w:r w:rsidRPr="007B2920">
        <w:rPr>
          <w:lang w:val="en-US"/>
        </w:rPr>
        <w:t xml:space="preserve">Class Representatives’ </w:t>
      </w:r>
      <w:r w:rsidRPr="007B2920">
        <w:t xml:space="preserve">damages </w:t>
      </w:r>
      <w:r w:rsidR="007927DB" w:rsidRPr="007B2920">
        <w:rPr>
          <w:lang w:val="en-US"/>
        </w:rPr>
        <w:t>expert</w:t>
      </w:r>
      <w:r w:rsidRPr="007B2920">
        <w:t xml:space="preserve"> estimate</w:t>
      </w:r>
      <w:r w:rsidR="007927DB" w:rsidRPr="007B2920">
        <w:rPr>
          <w:lang w:val="en-US"/>
        </w:rPr>
        <w:t xml:space="preserve">s that </w:t>
      </w:r>
      <w:r w:rsidR="00590903" w:rsidRPr="007B2920">
        <w:t>7,399,543,564</w:t>
      </w:r>
      <w:r w:rsidR="007927DB" w:rsidRPr="007B2920">
        <w:rPr>
          <w:lang w:val="en-US"/>
        </w:rPr>
        <w:t xml:space="preserve"> shares </w:t>
      </w:r>
      <w:r w:rsidRPr="007B2920">
        <w:rPr>
          <w:lang w:val="en-US"/>
        </w:rPr>
        <w:t>of GE common stock</w:t>
      </w:r>
      <w:r w:rsidR="007927DB" w:rsidRPr="007B2920">
        <w:rPr>
          <w:lang w:val="en-US"/>
        </w:rPr>
        <w:t xml:space="preserve"> purchased</w:t>
      </w:r>
      <w:r w:rsidRPr="007B2920">
        <w:rPr>
          <w:lang w:val="en-US"/>
        </w:rPr>
        <w:t xml:space="preserve"> </w:t>
      </w:r>
      <w:r w:rsidR="007927DB" w:rsidRPr="007B2920">
        <w:rPr>
          <w:lang w:val="en-US"/>
        </w:rPr>
        <w:t>during the Class Period</w:t>
      </w:r>
      <w:r w:rsidRPr="007B2920">
        <w:rPr>
          <w:lang w:val="en-US"/>
        </w:rPr>
        <w:t xml:space="preserve"> </w:t>
      </w:r>
      <w:r w:rsidRPr="007B2920">
        <w:t>may have been affected by the conduct at issue in the Action</w:t>
      </w:r>
      <w:r w:rsidR="003B394D" w:rsidRPr="007B2920">
        <w:rPr>
          <w:lang w:val="en-US"/>
        </w:rPr>
        <w:t xml:space="preserve"> and eligible to participate in the Settlement</w:t>
      </w:r>
      <w:r w:rsidR="007927DB" w:rsidRPr="007B2920">
        <w:rPr>
          <w:lang w:val="en-US"/>
        </w:rPr>
        <w:t xml:space="preserve">. If </w:t>
      </w:r>
      <w:r w:rsidRPr="007B2920">
        <w:t xml:space="preserve">all </w:t>
      </w:r>
      <w:r w:rsidR="007927DB" w:rsidRPr="007B2920">
        <w:rPr>
          <w:lang w:val="en-US"/>
        </w:rPr>
        <w:t xml:space="preserve">eligible </w:t>
      </w:r>
      <w:r w:rsidRPr="007B2920">
        <w:rPr>
          <w:lang w:val="en-US"/>
        </w:rPr>
        <w:t>Class</w:t>
      </w:r>
      <w:r w:rsidRPr="007B2920">
        <w:t xml:space="preserve"> Members elect to participate in the Settlement, the estimated average recovery </w:t>
      </w:r>
      <w:r w:rsidRPr="007B2920">
        <w:rPr>
          <w:lang w:val="en-US"/>
        </w:rPr>
        <w:t xml:space="preserve">(before the deduction of any Court-approved fees, expenses, and costs as described herein) </w:t>
      </w:r>
      <w:r w:rsidR="007927DB" w:rsidRPr="007B2920">
        <w:rPr>
          <w:lang w:val="en-US"/>
        </w:rPr>
        <w:t xml:space="preserve">will be </w:t>
      </w:r>
      <w:r w:rsidR="002143C0" w:rsidRPr="007B2920">
        <w:rPr>
          <w:lang w:val="en-US"/>
        </w:rPr>
        <w:t xml:space="preserve">approximately </w:t>
      </w:r>
      <w:r w:rsidR="007927DB" w:rsidRPr="007B2920">
        <w:rPr>
          <w:lang w:val="en-US"/>
        </w:rPr>
        <w:t>$</w:t>
      </w:r>
      <w:r w:rsidR="002143C0" w:rsidRPr="007B2920">
        <w:rPr>
          <w:lang w:val="en-US"/>
        </w:rPr>
        <w:t>0.05</w:t>
      </w:r>
      <w:r w:rsidR="007927DB" w:rsidRPr="007B2920">
        <w:rPr>
          <w:lang w:val="en-US"/>
        </w:rPr>
        <w:t xml:space="preserve"> </w:t>
      </w:r>
      <w:r w:rsidRPr="007B2920">
        <w:t xml:space="preserve">per </w:t>
      </w:r>
      <w:r w:rsidR="003B394D" w:rsidRPr="007B2920">
        <w:rPr>
          <w:lang w:val="en-US"/>
        </w:rPr>
        <w:t>eligible</w:t>
      </w:r>
      <w:r w:rsidRPr="007B2920">
        <w:t xml:space="preserve"> </w:t>
      </w:r>
      <w:r w:rsidRPr="007B2920">
        <w:rPr>
          <w:lang w:val="en-US"/>
        </w:rPr>
        <w:t>share of GE</w:t>
      </w:r>
      <w:r w:rsidR="006E5D26" w:rsidRPr="007B2920">
        <w:rPr>
          <w:lang w:val="en-US"/>
        </w:rPr>
        <w:t xml:space="preserve"> common stock</w:t>
      </w:r>
      <w:r w:rsidRPr="007B2920">
        <w:rPr>
          <w:lang w:val="en-US"/>
        </w:rPr>
        <w:t xml:space="preserve">. </w:t>
      </w:r>
      <w:r w:rsidRPr="007B2920">
        <w:rPr>
          <w:b/>
          <w:lang w:val="en-US"/>
        </w:rPr>
        <w:t>Class</w:t>
      </w:r>
      <w:r w:rsidRPr="007B2920">
        <w:rPr>
          <w:b/>
        </w:rPr>
        <w:t xml:space="preserve"> Members should note, however, that </w:t>
      </w:r>
      <w:r w:rsidR="007927DB" w:rsidRPr="007B2920">
        <w:rPr>
          <w:b/>
          <w:lang w:val="en-US"/>
        </w:rPr>
        <w:t>t</w:t>
      </w:r>
      <w:r w:rsidRPr="007B2920">
        <w:rPr>
          <w:b/>
          <w:lang w:val="en-US"/>
        </w:rPr>
        <w:t>his is</w:t>
      </w:r>
      <w:r w:rsidR="007927DB" w:rsidRPr="007B2920">
        <w:rPr>
          <w:b/>
          <w:lang w:val="en-US"/>
        </w:rPr>
        <w:t xml:space="preserve"> only </w:t>
      </w:r>
      <w:r w:rsidRPr="007B2920">
        <w:rPr>
          <w:b/>
          <w:lang w:val="en-US"/>
        </w:rPr>
        <w:t xml:space="preserve">an </w:t>
      </w:r>
      <w:r w:rsidR="007927DB" w:rsidRPr="007B2920">
        <w:rPr>
          <w:b/>
          <w:lang w:val="en-US"/>
        </w:rPr>
        <w:t>es</w:t>
      </w:r>
      <w:r w:rsidR="001F4C25" w:rsidRPr="007B2920">
        <w:rPr>
          <w:b/>
          <w:lang w:val="en-US"/>
        </w:rPr>
        <w:t>t</w:t>
      </w:r>
      <w:r w:rsidR="007927DB" w:rsidRPr="007B2920">
        <w:rPr>
          <w:b/>
          <w:lang w:val="en-US"/>
        </w:rPr>
        <w:t xml:space="preserve">imate based on the overall number of potentially </w:t>
      </w:r>
      <w:r w:rsidR="003B394D" w:rsidRPr="007B2920">
        <w:rPr>
          <w:b/>
          <w:lang w:val="en-US"/>
        </w:rPr>
        <w:t>eligible</w:t>
      </w:r>
      <w:r w:rsidR="007927DB" w:rsidRPr="007B2920">
        <w:rPr>
          <w:b/>
          <w:lang w:val="en-US"/>
        </w:rPr>
        <w:t xml:space="preserve"> shares</w:t>
      </w:r>
      <w:r w:rsidRPr="007B2920">
        <w:rPr>
          <w:b/>
          <w:lang w:val="en-US"/>
        </w:rPr>
        <w:t>.</w:t>
      </w:r>
      <w:r w:rsidRPr="007B2920">
        <w:t xml:space="preserve"> </w:t>
      </w:r>
      <w:r w:rsidRPr="007B2920">
        <w:rPr>
          <w:lang w:val="en-US"/>
        </w:rPr>
        <w:t>Some</w:t>
      </w:r>
      <w:r w:rsidRPr="007B2920">
        <w:t xml:space="preserve"> </w:t>
      </w:r>
      <w:r w:rsidRPr="007B2920">
        <w:rPr>
          <w:lang w:val="en-US"/>
        </w:rPr>
        <w:t>Class</w:t>
      </w:r>
      <w:r w:rsidRPr="007B2920">
        <w:t xml:space="preserve"> Member</w:t>
      </w:r>
      <w:r w:rsidRPr="007B2920">
        <w:rPr>
          <w:lang w:val="en-US"/>
        </w:rPr>
        <w:t>s</w:t>
      </w:r>
      <w:r w:rsidRPr="007B2920">
        <w:t xml:space="preserve"> may recover more or less than th</w:t>
      </w:r>
      <w:r w:rsidRPr="007B2920">
        <w:rPr>
          <w:lang w:val="en-US"/>
        </w:rPr>
        <w:t>is</w:t>
      </w:r>
      <w:r w:rsidRPr="007B2920">
        <w:t xml:space="preserve"> estimated amount</w:t>
      </w:r>
      <w:r w:rsidR="001F4C25" w:rsidRPr="007B2920">
        <w:t xml:space="preserve"> depending on: (</w:t>
      </w:r>
      <w:proofErr w:type="spellStart"/>
      <w:r w:rsidR="001F4C25" w:rsidRPr="007B2920">
        <w:t>i</w:t>
      </w:r>
      <w:proofErr w:type="spellEnd"/>
      <w:r w:rsidR="001F4C25" w:rsidRPr="007B2920">
        <w:t>) when and the price at which they purchased/acquired</w:t>
      </w:r>
      <w:r w:rsidR="00DD4FD5" w:rsidRPr="007B2920">
        <w:rPr>
          <w:lang w:val="en-US"/>
        </w:rPr>
        <w:t>/sold</w:t>
      </w:r>
      <w:r w:rsidR="001F4C25" w:rsidRPr="007B2920">
        <w:t xml:space="preserve"> </w:t>
      </w:r>
      <w:r w:rsidR="00DD4FD5" w:rsidRPr="007B2920">
        <w:rPr>
          <w:lang w:val="en-US"/>
        </w:rPr>
        <w:t xml:space="preserve">their </w:t>
      </w:r>
      <w:r w:rsidRPr="007B2920">
        <w:rPr>
          <w:lang w:val="en-US"/>
        </w:rPr>
        <w:t>GE</w:t>
      </w:r>
      <w:r w:rsidR="00DD4FD5" w:rsidRPr="007B2920">
        <w:rPr>
          <w:lang w:val="en-US"/>
        </w:rPr>
        <w:t xml:space="preserve"> </w:t>
      </w:r>
      <w:r w:rsidR="00FC4EB7" w:rsidRPr="007B2920">
        <w:rPr>
          <w:lang w:val="en-US"/>
        </w:rPr>
        <w:t>common stock</w:t>
      </w:r>
      <w:r w:rsidR="001F4C25" w:rsidRPr="007B2920">
        <w:t>; (ii) the total number and value of valid Claims submitted</w:t>
      </w:r>
      <w:r w:rsidR="00DD4FD5" w:rsidRPr="007B2920">
        <w:t>; (iii</w:t>
      </w:r>
      <w:r w:rsidR="001F4C25" w:rsidRPr="007B2920">
        <w:t>) the amount of Notice and Administration Costs; and (</w:t>
      </w:r>
      <w:proofErr w:type="spellStart"/>
      <w:r w:rsidR="00190448" w:rsidRPr="007B2920">
        <w:rPr>
          <w:lang w:val="en-US"/>
        </w:rPr>
        <w:t>i</w:t>
      </w:r>
      <w:proofErr w:type="spellEnd"/>
      <w:r w:rsidR="001F4C25" w:rsidRPr="007B2920">
        <w:t xml:space="preserve">v) the </w:t>
      </w:r>
      <w:proofErr w:type="gramStart"/>
      <w:r w:rsidR="001F4C25" w:rsidRPr="007B2920">
        <w:t>amount</w:t>
      </w:r>
      <w:proofErr w:type="gramEnd"/>
      <w:r w:rsidR="001F4C25" w:rsidRPr="007B2920">
        <w:t xml:space="preserve"> of attorneys’ fees and Litigation Expenses awarded by the Court.</w:t>
      </w:r>
      <w:r w:rsidR="001F4C25" w:rsidRPr="007B2920">
        <w:rPr>
          <w:lang w:val="en-US"/>
        </w:rPr>
        <w:t xml:space="preserve"> </w:t>
      </w:r>
      <w:r w:rsidRPr="007B2920">
        <w:rPr>
          <w:bCs w:val="0"/>
          <w:lang w:val="en-US"/>
        </w:rPr>
        <w:t>Distributions to Class Members will be made based on the Plan of Allocation attached hereto as Appendix A or such other plan of allocation as may be ordered by the Court.</w:t>
      </w:r>
    </w:p>
    <w:bookmarkEnd w:id="2"/>
    <w:p w14:paraId="6BECF8AF" w14:textId="4D3F3C9A" w:rsidR="008B1B77" w:rsidRPr="007B2920" w:rsidRDefault="00670596" w:rsidP="00FA5A1B">
      <w:pPr>
        <w:pStyle w:val="Heading1"/>
        <w:numPr>
          <w:ilvl w:val="0"/>
          <w:numId w:val="15"/>
        </w:numPr>
        <w:spacing w:before="180" w:after="180"/>
        <w:ind w:left="0" w:firstLine="360"/>
        <w:rPr>
          <w:lang w:val="en-US"/>
        </w:rPr>
      </w:pPr>
      <w:r w:rsidRPr="007B2920">
        <w:rPr>
          <w:b/>
          <w:u w:val="single"/>
          <w:lang w:val="en-US"/>
        </w:rPr>
        <w:t>Statement of Potential Outcome of the Case</w:t>
      </w:r>
      <w:r w:rsidR="00996210" w:rsidRPr="007B2920">
        <w:rPr>
          <w:b/>
          <w:lang w:val="en-US"/>
        </w:rPr>
        <w:t>:</w:t>
      </w:r>
      <w:r w:rsidRPr="007B2920">
        <w:rPr>
          <w:lang w:val="en-US"/>
        </w:rPr>
        <w:t xml:space="preserve"> The Parties do not agree on whether </w:t>
      </w:r>
      <w:r w:rsidR="00193793" w:rsidRPr="007B2920">
        <w:rPr>
          <w:lang w:val="en-US"/>
        </w:rPr>
        <w:t xml:space="preserve">Class Representatives </w:t>
      </w:r>
      <w:r w:rsidRPr="007B2920">
        <w:rPr>
          <w:lang w:val="en-US"/>
        </w:rPr>
        <w:t xml:space="preserve">would have prevailed on their claims against Defendants. Nor do they agree on </w:t>
      </w:r>
      <w:r w:rsidR="00DD4FD5" w:rsidRPr="007B2920">
        <w:rPr>
          <w:lang w:val="en-US"/>
        </w:rPr>
        <w:t xml:space="preserve">whether and to what extent the Class suffered any damages, including </w:t>
      </w:r>
      <w:r w:rsidRPr="007B2920">
        <w:rPr>
          <w:lang w:val="en-US"/>
        </w:rPr>
        <w:t xml:space="preserve">the </w:t>
      </w:r>
      <w:r w:rsidRPr="007B2920">
        <w:t>average</w:t>
      </w:r>
      <w:r w:rsidRPr="007B2920">
        <w:rPr>
          <w:lang w:val="en-US"/>
        </w:rPr>
        <w:t xml:space="preserve"> amount of damages per share that would be recoverable if </w:t>
      </w:r>
      <w:r w:rsidR="00193793" w:rsidRPr="007B2920">
        <w:rPr>
          <w:lang w:val="en-US"/>
        </w:rPr>
        <w:t xml:space="preserve">Class Representatives </w:t>
      </w:r>
      <w:r w:rsidR="00DD4FD5" w:rsidRPr="007B2920">
        <w:rPr>
          <w:lang w:val="en-US"/>
        </w:rPr>
        <w:t xml:space="preserve">were </w:t>
      </w:r>
      <w:r w:rsidRPr="007B2920">
        <w:rPr>
          <w:lang w:val="en-US"/>
        </w:rPr>
        <w:t xml:space="preserve">to prevail in the Action. Among other things, Defendants do not agree with the assertion that they violated the federal securities laws or that any damages were suffered by any members of the Class </w:t>
      </w:r>
      <w:proofErr w:type="gramStart"/>
      <w:r w:rsidRPr="007B2920">
        <w:rPr>
          <w:lang w:val="en-US"/>
        </w:rPr>
        <w:t>as a result of</w:t>
      </w:r>
      <w:proofErr w:type="gramEnd"/>
      <w:r w:rsidRPr="007B2920">
        <w:rPr>
          <w:lang w:val="en-US"/>
        </w:rPr>
        <w:t xml:space="preserve"> their conduct. Defendants have denied and continue to deny </w:t>
      </w:r>
      <w:proofErr w:type="gramStart"/>
      <w:r w:rsidRPr="007B2920">
        <w:rPr>
          <w:lang w:val="en-US"/>
        </w:rPr>
        <w:t>any and all</w:t>
      </w:r>
      <w:proofErr w:type="gramEnd"/>
      <w:r w:rsidRPr="007B2920">
        <w:rPr>
          <w:lang w:val="en-US"/>
        </w:rPr>
        <w:t xml:space="preserve"> allegations of wrongdoing or fault asserted in the Action, deny that they have committed any act or omission giving rise to any liability or violation of law, and deny that </w:t>
      </w:r>
      <w:r w:rsidR="00193793" w:rsidRPr="007B2920">
        <w:rPr>
          <w:lang w:val="en-US"/>
        </w:rPr>
        <w:t>Class Representatives</w:t>
      </w:r>
      <w:r w:rsidRPr="007B2920">
        <w:rPr>
          <w:lang w:val="en-US"/>
        </w:rPr>
        <w:t xml:space="preserve"> and the Class have suffered any loss attributable to Defendants’ actions or omissions. </w:t>
      </w:r>
    </w:p>
    <w:p w14:paraId="506EDEAF" w14:textId="1806BFB9" w:rsidR="00DD4FD5" w:rsidRPr="00D0419E" w:rsidRDefault="00670596" w:rsidP="00FA5A1B">
      <w:pPr>
        <w:pStyle w:val="Heading1"/>
        <w:numPr>
          <w:ilvl w:val="0"/>
          <w:numId w:val="15"/>
        </w:numPr>
        <w:spacing w:before="180" w:after="180"/>
        <w:ind w:left="0" w:firstLine="360"/>
        <w:rPr>
          <w:spacing w:val="-4"/>
        </w:rPr>
      </w:pPr>
      <w:r w:rsidRPr="00D0419E">
        <w:rPr>
          <w:b/>
          <w:spacing w:val="-4"/>
          <w:u w:val="single"/>
        </w:rPr>
        <w:lastRenderedPageBreak/>
        <w:t>Attorneys’ Fees and Expenses Sought</w:t>
      </w:r>
      <w:r w:rsidRPr="00D0419E">
        <w:rPr>
          <w:b/>
          <w:spacing w:val="-4"/>
        </w:rPr>
        <w:t>:</w:t>
      </w:r>
      <w:r w:rsidR="00996210" w:rsidRPr="00D0419E">
        <w:rPr>
          <w:spacing w:val="-4"/>
        </w:rPr>
        <w:t xml:space="preserve"> </w:t>
      </w:r>
      <w:r w:rsidRPr="00D0419E">
        <w:rPr>
          <w:spacing w:val="-4"/>
        </w:rPr>
        <w:t xml:space="preserve">Court-appointed </w:t>
      </w:r>
      <w:r w:rsidR="00193793" w:rsidRPr="00D0419E">
        <w:rPr>
          <w:spacing w:val="-4"/>
          <w:lang w:val="en-US"/>
        </w:rPr>
        <w:t>Class Counsel</w:t>
      </w:r>
      <w:r w:rsidRPr="00D0419E">
        <w:rPr>
          <w:spacing w:val="-4"/>
        </w:rPr>
        <w:t>, Kessler Topaz Meltzer &amp; Check, LLP</w:t>
      </w:r>
      <w:r w:rsidR="001323AB" w:rsidRPr="00D0419E">
        <w:rPr>
          <w:spacing w:val="-4"/>
          <w:lang w:val="en-US"/>
        </w:rPr>
        <w:t xml:space="preserve"> (“Kessler Topaz”)</w:t>
      </w:r>
      <w:r w:rsidRPr="00D0419E">
        <w:rPr>
          <w:spacing w:val="-4"/>
        </w:rPr>
        <w:t xml:space="preserve">, </w:t>
      </w:r>
      <w:r w:rsidR="008F4CA4" w:rsidRPr="00D0419E">
        <w:rPr>
          <w:spacing w:val="-4"/>
        </w:rPr>
        <w:t xml:space="preserve">and </w:t>
      </w:r>
      <w:r w:rsidR="008F4CA4" w:rsidRPr="00D0419E">
        <w:rPr>
          <w:spacing w:val="-4"/>
          <w:lang w:val="en-US"/>
        </w:rPr>
        <w:t>Court-appointed Liaison</w:t>
      </w:r>
      <w:r w:rsidR="008F4CA4" w:rsidRPr="00D0419E">
        <w:rPr>
          <w:spacing w:val="-4"/>
        </w:rPr>
        <w:t xml:space="preserve"> Counsel</w:t>
      </w:r>
      <w:r w:rsidR="006C1168" w:rsidRPr="00D0419E">
        <w:rPr>
          <w:spacing w:val="-4"/>
          <w:lang w:val="en-US"/>
        </w:rPr>
        <w:t>,</w:t>
      </w:r>
      <w:r w:rsidR="008F4CA4" w:rsidRPr="00D0419E">
        <w:rPr>
          <w:spacing w:val="-4"/>
          <w:lang w:val="en-US"/>
        </w:rPr>
        <w:t xml:space="preserve"> Grant &amp; </w:t>
      </w:r>
      <w:proofErr w:type="spellStart"/>
      <w:r w:rsidR="008F4CA4" w:rsidRPr="00D0419E">
        <w:rPr>
          <w:spacing w:val="-4"/>
          <w:lang w:val="en-US"/>
        </w:rPr>
        <w:t>Eisenhofer</w:t>
      </w:r>
      <w:proofErr w:type="spellEnd"/>
      <w:r w:rsidR="008F4CA4" w:rsidRPr="00D0419E">
        <w:rPr>
          <w:spacing w:val="-4"/>
          <w:lang w:val="en-US"/>
        </w:rPr>
        <w:t xml:space="preserve"> P.A. (“Grant &amp; </w:t>
      </w:r>
      <w:proofErr w:type="spellStart"/>
      <w:r w:rsidR="008F4CA4" w:rsidRPr="00D0419E">
        <w:rPr>
          <w:spacing w:val="-4"/>
          <w:lang w:val="en-US"/>
        </w:rPr>
        <w:t>Eisenhofer</w:t>
      </w:r>
      <w:proofErr w:type="spellEnd"/>
      <w:r w:rsidR="008F4CA4" w:rsidRPr="00D0419E">
        <w:rPr>
          <w:spacing w:val="-4"/>
          <w:lang w:val="en-US"/>
        </w:rPr>
        <w:t xml:space="preserve">”), </w:t>
      </w:r>
      <w:r w:rsidRPr="00D0419E">
        <w:rPr>
          <w:spacing w:val="-4"/>
        </w:rPr>
        <w:t>ha</w:t>
      </w:r>
      <w:r w:rsidR="008F4CA4" w:rsidRPr="00D0419E">
        <w:rPr>
          <w:spacing w:val="-4"/>
          <w:lang w:val="en-US"/>
        </w:rPr>
        <w:t>ve</w:t>
      </w:r>
      <w:r w:rsidRPr="00D0419E">
        <w:rPr>
          <w:spacing w:val="-4"/>
        </w:rPr>
        <w:t xml:space="preserve"> prosecuted this Action on a wholly contingent basis and ha</w:t>
      </w:r>
      <w:r w:rsidR="008F4CA4" w:rsidRPr="00D0419E">
        <w:rPr>
          <w:spacing w:val="-4"/>
          <w:lang w:val="en-US"/>
        </w:rPr>
        <w:t>ve</w:t>
      </w:r>
      <w:r w:rsidRPr="00D0419E">
        <w:rPr>
          <w:spacing w:val="-4"/>
        </w:rPr>
        <w:t xml:space="preserve"> not received any attorneys’ fees (or payment of expenses) for </w:t>
      </w:r>
      <w:r w:rsidR="006C1168" w:rsidRPr="00D0419E">
        <w:rPr>
          <w:spacing w:val="-4"/>
          <w:lang w:val="en-US"/>
        </w:rPr>
        <w:t>their</w:t>
      </w:r>
      <w:r w:rsidR="006C1168" w:rsidRPr="00D0419E">
        <w:rPr>
          <w:spacing w:val="-4"/>
        </w:rPr>
        <w:t xml:space="preserve"> </w:t>
      </w:r>
      <w:r w:rsidRPr="00D0419E">
        <w:rPr>
          <w:spacing w:val="-4"/>
        </w:rPr>
        <w:t xml:space="preserve">representation of the Class. For </w:t>
      </w:r>
      <w:r w:rsidR="006C1168" w:rsidRPr="00D0419E">
        <w:rPr>
          <w:spacing w:val="-4"/>
          <w:lang w:val="en-US"/>
        </w:rPr>
        <w:t>their</w:t>
      </w:r>
      <w:r w:rsidR="006C1168" w:rsidRPr="00D0419E">
        <w:rPr>
          <w:spacing w:val="-4"/>
        </w:rPr>
        <w:t xml:space="preserve"> </w:t>
      </w:r>
      <w:r w:rsidRPr="00D0419E">
        <w:rPr>
          <w:spacing w:val="-4"/>
        </w:rPr>
        <w:t xml:space="preserve">efforts, </w:t>
      </w:r>
      <w:r w:rsidR="00193793" w:rsidRPr="00D0419E">
        <w:rPr>
          <w:spacing w:val="-4"/>
          <w:lang w:val="en-US"/>
        </w:rPr>
        <w:t xml:space="preserve">Class </w:t>
      </w:r>
      <w:r w:rsidRPr="00D0419E">
        <w:rPr>
          <w:spacing w:val="-4"/>
        </w:rPr>
        <w:t>Counsel</w:t>
      </w:r>
      <w:r w:rsidR="008F4CA4" w:rsidRPr="00D0419E">
        <w:rPr>
          <w:spacing w:val="-4"/>
        </w:rPr>
        <w:t xml:space="preserve"> and Liaison Counsel</w:t>
      </w:r>
      <w:r w:rsidRPr="00D0419E">
        <w:rPr>
          <w:spacing w:val="-4"/>
        </w:rPr>
        <w:t xml:space="preserve"> will apply to the Court for attorneys’ fees in an amount not to exceed </w:t>
      </w:r>
      <w:r w:rsidR="002143C0" w:rsidRPr="00D0419E">
        <w:rPr>
          <w:spacing w:val="-4"/>
          <w:lang w:val="en-US"/>
        </w:rPr>
        <w:t>25</w:t>
      </w:r>
      <w:r w:rsidRPr="00D0419E">
        <w:rPr>
          <w:spacing w:val="-4"/>
        </w:rPr>
        <w:t>% of the Settlement Fund.</w:t>
      </w:r>
      <w:r w:rsidRPr="00D0419E">
        <w:rPr>
          <w:rStyle w:val="FootnoteReference"/>
          <w:spacing w:val="-4"/>
        </w:rPr>
        <w:footnoteReference w:id="3"/>
      </w:r>
      <w:r w:rsidRPr="00D0419E">
        <w:rPr>
          <w:spacing w:val="-4"/>
        </w:rPr>
        <w:t xml:space="preserve"> </w:t>
      </w:r>
      <w:r w:rsidR="00193793" w:rsidRPr="00D0419E">
        <w:rPr>
          <w:spacing w:val="-4"/>
          <w:lang w:val="en-US"/>
        </w:rPr>
        <w:t>Class</w:t>
      </w:r>
      <w:r w:rsidRPr="00D0419E">
        <w:rPr>
          <w:spacing w:val="-4"/>
        </w:rPr>
        <w:t xml:space="preserve"> Counsel</w:t>
      </w:r>
      <w:r w:rsidR="008F4CA4" w:rsidRPr="00D0419E">
        <w:rPr>
          <w:spacing w:val="-4"/>
        </w:rPr>
        <w:t xml:space="preserve"> and Liaison Counsel</w:t>
      </w:r>
      <w:r w:rsidRPr="00D0419E">
        <w:rPr>
          <w:spacing w:val="-4"/>
        </w:rPr>
        <w:t xml:space="preserve"> will also apply for payment of Litigation Expenses incurred in connection with the institution, prosecution, and resolution of the Action, in an amount not to exceed $</w:t>
      </w:r>
      <w:r w:rsidR="002143C0" w:rsidRPr="00D0419E">
        <w:rPr>
          <w:spacing w:val="-4"/>
          <w:lang w:val="en-US"/>
        </w:rPr>
        <w:t>10 million</w:t>
      </w:r>
      <w:r w:rsidRPr="00D0419E">
        <w:rPr>
          <w:spacing w:val="-4"/>
        </w:rPr>
        <w:t xml:space="preserve">, which amount may include a request for reimbursement of the reasonable costs incurred by </w:t>
      </w:r>
      <w:r w:rsidR="00193793" w:rsidRPr="00D0419E">
        <w:rPr>
          <w:spacing w:val="-4"/>
          <w:lang w:val="en-US"/>
        </w:rPr>
        <w:t>Class Representatives</w:t>
      </w:r>
      <w:r w:rsidRPr="00D0419E">
        <w:rPr>
          <w:spacing w:val="-4"/>
        </w:rPr>
        <w:t xml:space="preserve"> directly related to their representation of the Class in accordance with 15 U.S.C. §78u-4(a)(4). </w:t>
      </w:r>
      <w:r w:rsidR="007E6763" w:rsidRPr="00D0419E">
        <w:rPr>
          <w:spacing w:val="-4"/>
        </w:rPr>
        <w:t xml:space="preserve">Any fees and expenses awarded </w:t>
      </w:r>
      <w:r w:rsidR="007E6763" w:rsidRPr="00D0419E">
        <w:rPr>
          <w:spacing w:val="-4"/>
          <w:lang w:val="en-US"/>
        </w:rPr>
        <w:t xml:space="preserve">to </w:t>
      </w:r>
      <w:r w:rsidR="00251C85" w:rsidRPr="00D0419E">
        <w:rPr>
          <w:spacing w:val="-4"/>
          <w:lang w:val="en-US"/>
        </w:rPr>
        <w:t>c</w:t>
      </w:r>
      <w:r w:rsidR="007E6763" w:rsidRPr="00D0419E">
        <w:rPr>
          <w:spacing w:val="-4"/>
          <w:lang w:val="en-US"/>
        </w:rPr>
        <w:t>ounsel</w:t>
      </w:r>
      <w:r w:rsidR="007E6763" w:rsidRPr="00D0419E">
        <w:rPr>
          <w:spacing w:val="-4"/>
        </w:rPr>
        <w:t xml:space="preserve"> will be paid from the Settlement Fund</w:t>
      </w:r>
      <w:r w:rsidR="007E6763" w:rsidRPr="00D0419E">
        <w:rPr>
          <w:spacing w:val="-4"/>
          <w:lang w:val="en-US"/>
        </w:rPr>
        <w:t xml:space="preserve"> along with any interest earned at the same rate as earned by the Class on the Settlement Fund</w:t>
      </w:r>
      <w:r w:rsidR="007E6763" w:rsidRPr="00D0419E">
        <w:rPr>
          <w:spacing w:val="-4"/>
        </w:rPr>
        <w:t xml:space="preserve">. </w:t>
      </w:r>
      <w:r w:rsidRPr="00D0419E">
        <w:rPr>
          <w:spacing w:val="-4"/>
        </w:rPr>
        <w:t>If the Court approves the maximum amount of the foregoing fees and expenses, the estimated average cost will be approximately $</w:t>
      </w:r>
      <w:r w:rsidR="002143C0" w:rsidRPr="00D0419E">
        <w:rPr>
          <w:spacing w:val="-4"/>
          <w:lang w:val="en-US"/>
        </w:rPr>
        <w:t>0.01</w:t>
      </w:r>
      <w:r w:rsidRPr="00D0419E">
        <w:rPr>
          <w:spacing w:val="-4"/>
        </w:rPr>
        <w:t xml:space="preserve"> per </w:t>
      </w:r>
      <w:r w:rsidR="003B394D" w:rsidRPr="00D0419E">
        <w:rPr>
          <w:spacing w:val="-4"/>
          <w:lang w:val="en-US"/>
        </w:rPr>
        <w:t xml:space="preserve">eligible share of </w:t>
      </w:r>
      <w:r w:rsidR="00251C85" w:rsidRPr="00D0419E">
        <w:rPr>
          <w:spacing w:val="-4"/>
          <w:lang w:val="en-US"/>
        </w:rPr>
        <w:t>GE</w:t>
      </w:r>
      <w:r w:rsidR="003B394D" w:rsidRPr="00D0419E">
        <w:rPr>
          <w:spacing w:val="-4"/>
          <w:lang w:val="en-US"/>
        </w:rPr>
        <w:t xml:space="preserve"> common stock</w:t>
      </w:r>
      <w:r w:rsidRPr="00D0419E">
        <w:rPr>
          <w:spacing w:val="-4"/>
        </w:rPr>
        <w:t xml:space="preserve">. </w:t>
      </w:r>
      <w:r w:rsidRPr="00D0419E">
        <w:rPr>
          <w:b/>
          <w:spacing w:val="-4"/>
        </w:rPr>
        <w:t xml:space="preserve">Please note </w:t>
      </w:r>
      <w:r w:rsidR="0064188D" w:rsidRPr="00D0419E">
        <w:rPr>
          <w:b/>
          <w:spacing w:val="-4"/>
          <w:lang w:val="en-US"/>
        </w:rPr>
        <w:t xml:space="preserve">that </w:t>
      </w:r>
      <w:r w:rsidR="003B394D" w:rsidRPr="00D0419E">
        <w:rPr>
          <w:b/>
          <w:spacing w:val="-4"/>
          <w:lang w:val="en-US"/>
        </w:rPr>
        <w:t>th</w:t>
      </w:r>
      <w:r w:rsidR="00251C85" w:rsidRPr="00D0419E">
        <w:rPr>
          <w:b/>
          <w:spacing w:val="-4"/>
          <w:lang w:val="en-US"/>
        </w:rPr>
        <w:t>is</w:t>
      </w:r>
      <w:r w:rsidR="003B394D" w:rsidRPr="00D0419E">
        <w:rPr>
          <w:b/>
          <w:spacing w:val="-4"/>
          <w:lang w:val="en-US"/>
        </w:rPr>
        <w:t xml:space="preserve"> </w:t>
      </w:r>
      <w:r w:rsidR="00251C85" w:rsidRPr="00D0419E">
        <w:rPr>
          <w:b/>
          <w:spacing w:val="-4"/>
          <w:lang w:val="en-US"/>
        </w:rPr>
        <w:t>is</w:t>
      </w:r>
      <w:r w:rsidR="003B394D" w:rsidRPr="00D0419E">
        <w:rPr>
          <w:b/>
          <w:spacing w:val="-4"/>
        </w:rPr>
        <w:t xml:space="preserve"> only </w:t>
      </w:r>
      <w:r w:rsidR="00251C85" w:rsidRPr="00D0419E">
        <w:rPr>
          <w:b/>
          <w:spacing w:val="-4"/>
          <w:lang w:val="en-US"/>
        </w:rPr>
        <w:t xml:space="preserve">an </w:t>
      </w:r>
      <w:r w:rsidRPr="00D0419E">
        <w:rPr>
          <w:b/>
          <w:spacing w:val="-4"/>
        </w:rPr>
        <w:t>estimate</w:t>
      </w:r>
      <w:r w:rsidRPr="00D0419E">
        <w:rPr>
          <w:spacing w:val="-4"/>
        </w:rPr>
        <w:t>.</w:t>
      </w:r>
    </w:p>
    <w:p w14:paraId="1AEE4BB5" w14:textId="52238922" w:rsidR="008B1B77" w:rsidRPr="00D0419E" w:rsidRDefault="00670596" w:rsidP="00FA5A1B">
      <w:pPr>
        <w:pStyle w:val="Heading1"/>
        <w:numPr>
          <w:ilvl w:val="0"/>
          <w:numId w:val="15"/>
        </w:numPr>
        <w:spacing w:before="180" w:after="180"/>
        <w:ind w:left="0" w:firstLine="360"/>
        <w:rPr>
          <w:iCs/>
          <w:spacing w:val="-4"/>
          <w:lang w:val="en-US"/>
        </w:rPr>
      </w:pPr>
      <w:r w:rsidRPr="00D0419E">
        <w:rPr>
          <w:b/>
          <w:spacing w:val="-4"/>
          <w:u w:val="single"/>
        </w:rPr>
        <w:t>Identification of Attorneys’ Representatives</w:t>
      </w:r>
      <w:r w:rsidR="00996210" w:rsidRPr="00D0419E">
        <w:rPr>
          <w:b/>
          <w:spacing w:val="-4"/>
        </w:rPr>
        <w:t xml:space="preserve">: </w:t>
      </w:r>
      <w:r w:rsidR="00251C85" w:rsidRPr="00D0419E">
        <w:rPr>
          <w:spacing w:val="-4"/>
          <w:lang w:val="en-US"/>
        </w:rPr>
        <w:t>Class Representatives</w:t>
      </w:r>
      <w:r w:rsidR="007E6763" w:rsidRPr="00D0419E">
        <w:rPr>
          <w:spacing w:val="-4"/>
        </w:rPr>
        <w:t xml:space="preserve"> and the Class are represented by </w:t>
      </w:r>
      <w:r w:rsidR="00EB755B" w:rsidRPr="00D0419E">
        <w:rPr>
          <w:spacing w:val="-4"/>
          <w:lang w:val="en-US"/>
        </w:rPr>
        <w:t xml:space="preserve">Class Counsel </w:t>
      </w:r>
      <w:r w:rsidR="00C614AA" w:rsidRPr="00D0419E">
        <w:rPr>
          <w:spacing w:val="-4"/>
          <w:lang w:val="en-US"/>
        </w:rPr>
        <w:t xml:space="preserve">Sharan </w:t>
      </w:r>
      <w:proofErr w:type="spellStart"/>
      <w:r w:rsidR="00C614AA" w:rsidRPr="00D0419E">
        <w:rPr>
          <w:spacing w:val="-4"/>
          <w:lang w:val="en-US"/>
        </w:rPr>
        <w:t>Nirmul</w:t>
      </w:r>
      <w:proofErr w:type="spellEnd"/>
      <w:r w:rsidR="001323AB" w:rsidRPr="00D0419E">
        <w:rPr>
          <w:spacing w:val="-4"/>
          <w:lang w:val="en-US"/>
        </w:rPr>
        <w:t>, Esq.</w:t>
      </w:r>
      <w:r w:rsidR="00C614AA" w:rsidRPr="00D0419E">
        <w:rPr>
          <w:spacing w:val="-4"/>
          <w:lang w:val="en-US"/>
        </w:rPr>
        <w:t xml:space="preserve"> </w:t>
      </w:r>
      <w:r w:rsidR="007E6763" w:rsidRPr="00D0419E">
        <w:rPr>
          <w:spacing w:val="-4"/>
        </w:rPr>
        <w:t xml:space="preserve">of Kessler Topaz Meltzer &amp; Check, LLP, </w:t>
      </w:r>
      <w:r w:rsidR="00C614AA" w:rsidRPr="00D0419E">
        <w:rPr>
          <w:spacing w:val="-4"/>
          <w:lang w:val="en-US"/>
        </w:rPr>
        <w:t>280</w:t>
      </w:r>
      <w:r w:rsidR="00D0419E" w:rsidRPr="00D0419E">
        <w:rPr>
          <w:spacing w:val="-4"/>
          <w:lang w:val="en-US"/>
        </w:rPr>
        <w:t> </w:t>
      </w:r>
      <w:r w:rsidR="00C614AA" w:rsidRPr="00D0419E">
        <w:rPr>
          <w:spacing w:val="-4"/>
          <w:lang w:val="en-US"/>
        </w:rPr>
        <w:t xml:space="preserve">King of Prussia Road, Radnor, PA 19087, 1-610-667-7706, </w:t>
      </w:r>
      <w:hyperlink r:id="rId8" w:history="1">
        <w:r w:rsidR="00C614AA" w:rsidRPr="00D0419E">
          <w:rPr>
            <w:rStyle w:val="Hyperlink"/>
            <w:color w:val="auto"/>
            <w:spacing w:val="-4"/>
            <w:u w:val="none"/>
            <w:lang w:val="en-US"/>
          </w:rPr>
          <w:t>info@ktmc.com</w:t>
        </w:r>
      </w:hyperlink>
      <w:r w:rsidR="00C614AA" w:rsidRPr="00D0419E">
        <w:rPr>
          <w:spacing w:val="-4"/>
          <w:lang w:val="en-US"/>
        </w:rPr>
        <w:t xml:space="preserve">, </w:t>
      </w:r>
      <w:hyperlink r:id="rId9" w:history="1">
        <w:r w:rsidR="00C614AA" w:rsidRPr="00D0419E">
          <w:rPr>
            <w:rStyle w:val="Hyperlink"/>
            <w:color w:val="auto"/>
            <w:spacing w:val="-4"/>
            <w:lang w:val="en-US"/>
          </w:rPr>
          <w:t>www.ktmc.com</w:t>
        </w:r>
      </w:hyperlink>
      <w:r w:rsidR="00C614AA" w:rsidRPr="00D0419E">
        <w:rPr>
          <w:spacing w:val="-4"/>
        </w:rPr>
        <w:t>.</w:t>
      </w:r>
      <w:r w:rsidR="001323AB" w:rsidRPr="00D0419E">
        <w:rPr>
          <w:spacing w:val="-4"/>
          <w:lang w:val="en-US"/>
        </w:rPr>
        <w:t xml:space="preserve"> </w:t>
      </w:r>
      <w:r w:rsidR="00C614AA" w:rsidRPr="00D0419E">
        <w:rPr>
          <w:spacing w:val="-4"/>
          <w:lang w:val="en-US"/>
        </w:rPr>
        <w:t xml:space="preserve">Other representatives from </w:t>
      </w:r>
      <w:r w:rsidR="00251C85" w:rsidRPr="00D0419E">
        <w:rPr>
          <w:spacing w:val="-4"/>
          <w:lang w:val="en-US"/>
        </w:rPr>
        <w:t>Class</w:t>
      </w:r>
      <w:r w:rsidR="00C614AA" w:rsidRPr="00D0419E">
        <w:rPr>
          <w:spacing w:val="-4"/>
          <w:lang w:val="en-US"/>
        </w:rPr>
        <w:t xml:space="preserve"> Counsel are listed in ¶ </w:t>
      </w:r>
      <w:r w:rsidR="002143C0" w:rsidRPr="00D0419E">
        <w:rPr>
          <w:spacing w:val="-4"/>
          <w:lang w:val="en-US"/>
        </w:rPr>
        <w:t>83</w:t>
      </w:r>
      <w:r w:rsidR="00C614AA" w:rsidRPr="00D0419E">
        <w:rPr>
          <w:spacing w:val="-4"/>
          <w:lang w:val="en-US"/>
        </w:rPr>
        <w:t xml:space="preserve"> below.</w:t>
      </w:r>
      <w:r w:rsidR="007E6763" w:rsidRPr="00D0419E">
        <w:rPr>
          <w:spacing w:val="-4"/>
        </w:rPr>
        <w:t xml:space="preserve"> </w:t>
      </w:r>
      <w:r w:rsidR="00EB755B" w:rsidRPr="00D0419E">
        <w:rPr>
          <w:spacing w:val="-4"/>
          <w:lang w:val="en-US"/>
        </w:rPr>
        <w:t xml:space="preserve">The Class is also represented by Liaison Counsel Grant &amp; </w:t>
      </w:r>
      <w:proofErr w:type="spellStart"/>
      <w:r w:rsidR="00EB755B" w:rsidRPr="00D0419E">
        <w:rPr>
          <w:spacing w:val="-4"/>
          <w:lang w:val="en-US"/>
        </w:rPr>
        <w:t>Eisenhofer</w:t>
      </w:r>
      <w:proofErr w:type="spellEnd"/>
      <w:r w:rsidR="00EB755B" w:rsidRPr="00D0419E">
        <w:rPr>
          <w:spacing w:val="-4"/>
          <w:lang w:val="en-US"/>
        </w:rPr>
        <w:t xml:space="preserve"> P.A., 485 Lexington Avenue, New York, NY 10017. </w:t>
      </w:r>
      <w:r w:rsidRPr="00D0419E">
        <w:rPr>
          <w:spacing w:val="-4"/>
        </w:rPr>
        <w:t xml:space="preserve">Further information regarding the Action, the Settlement, and this Notice </w:t>
      </w:r>
      <w:r w:rsidR="00C614AA" w:rsidRPr="00D0419E">
        <w:rPr>
          <w:spacing w:val="-4"/>
          <w:lang w:val="en-US"/>
        </w:rPr>
        <w:t xml:space="preserve">also </w:t>
      </w:r>
      <w:r w:rsidRPr="00D0419E">
        <w:rPr>
          <w:spacing w:val="-4"/>
        </w:rPr>
        <w:t>may be obtained by contacting the Claims Administrator at:</w:t>
      </w:r>
      <w:r w:rsidRPr="00D0419E">
        <w:rPr>
          <w:i/>
          <w:spacing w:val="-4"/>
        </w:rPr>
        <w:t xml:space="preserve"> </w:t>
      </w:r>
      <w:r w:rsidR="00251C85" w:rsidRPr="00D0419E">
        <w:rPr>
          <w:i/>
          <w:color w:val="231F20"/>
          <w:spacing w:val="-4"/>
        </w:rPr>
        <w:t>General Electric Securities Litigation</w:t>
      </w:r>
      <w:r w:rsidR="00251C85" w:rsidRPr="00D0419E">
        <w:rPr>
          <w:iCs/>
          <w:color w:val="231F20"/>
          <w:spacing w:val="-4"/>
          <w:lang w:val="en-US"/>
        </w:rPr>
        <w:t xml:space="preserve">, </w:t>
      </w:r>
      <w:r w:rsidR="00251C85" w:rsidRPr="00D0419E">
        <w:rPr>
          <w:iCs/>
          <w:color w:val="231F20"/>
          <w:spacing w:val="-4"/>
        </w:rPr>
        <w:t>c/o JND Legal Administration</w:t>
      </w:r>
      <w:r w:rsidR="00251C85" w:rsidRPr="00D0419E">
        <w:rPr>
          <w:iCs/>
          <w:color w:val="231F20"/>
          <w:spacing w:val="-4"/>
          <w:lang w:val="en-US"/>
        </w:rPr>
        <w:t xml:space="preserve">, </w:t>
      </w:r>
      <w:r w:rsidR="00251C85" w:rsidRPr="00D0419E">
        <w:rPr>
          <w:iCs/>
          <w:color w:val="231F20"/>
          <w:spacing w:val="-4"/>
        </w:rPr>
        <w:t>P.O. Box 91449</w:t>
      </w:r>
      <w:r w:rsidR="00251C85" w:rsidRPr="00D0419E">
        <w:rPr>
          <w:iCs/>
          <w:color w:val="231F20"/>
          <w:spacing w:val="-4"/>
          <w:lang w:val="en-US"/>
        </w:rPr>
        <w:t xml:space="preserve">, </w:t>
      </w:r>
      <w:r w:rsidR="00251C85" w:rsidRPr="00D0419E">
        <w:rPr>
          <w:iCs/>
          <w:color w:val="231F20"/>
          <w:spacing w:val="-4"/>
        </w:rPr>
        <w:t>Seattle, WA 98111</w:t>
      </w:r>
      <w:r w:rsidR="00251C85" w:rsidRPr="00D0419E">
        <w:rPr>
          <w:iCs/>
          <w:color w:val="231F20"/>
          <w:spacing w:val="-4"/>
          <w:lang w:val="en-US"/>
        </w:rPr>
        <w:t>;</w:t>
      </w:r>
      <w:r w:rsidR="001323AB" w:rsidRPr="00D0419E">
        <w:rPr>
          <w:iCs/>
          <w:color w:val="231F20"/>
          <w:spacing w:val="-4"/>
          <w:lang w:val="en-US"/>
        </w:rPr>
        <w:t xml:space="preserve"> </w:t>
      </w:r>
      <w:r w:rsidR="00251C85" w:rsidRPr="00D0419E">
        <w:rPr>
          <w:color w:val="000000"/>
          <w:spacing w:val="-4"/>
        </w:rPr>
        <w:t>1-</w:t>
      </w:r>
      <w:r w:rsidR="00251C85" w:rsidRPr="00D0419E">
        <w:rPr>
          <w:spacing w:val="-4"/>
        </w:rPr>
        <w:t>844-202-9485</w:t>
      </w:r>
      <w:r w:rsidR="00251C85" w:rsidRPr="00D0419E">
        <w:rPr>
          <w:spacing w:val="-4"/>
          <w:lang w:val="en-US"/>
        </w:rPr>
        <w:t xml:space="preserve">; info@GeneralElectricSecuritiesLitigation.com; </w:t>
      </w:r>
      <w:r w:rsidRPr="00D0419E">
        <w:rPr>
          <w:spacing w:val="-4"/>
          <w:lang w:val="en-US"/>
        </w:rPr>
        <w:t xml:space="preserve">or by visiting the </w:t>
      </w:r>
      <w:r w:rsidR="001323AB" w:rsidRPr="00D0419E">
        <w:rPr>
          <w:spacing w:val="-4"/>
          <w:lang w:val="en-US"/>
        </w:rPr>
        <w:t xml:space="preserve">case </w:t>
      </w:r>
      <w:r w:rsidRPr="00D0419E">
        <w:rPr>
          <w:spacing w:val="-4"/>
          <w:lang w:val="en-US"/>
        </w:rPr>
        <w:t>website,</w:t>
      </w:r>
      <w:r w:rsidRPr="00D0419E">
        <w:rPr>
          <w:spacing w:val="-4"/>
        </w:rPr>
        <w:t xml:space="preserve"> </w:t>
      </w:r>
      <w:r w:rsidRPr="00D0419E">
        <w:rPr>
          <w:spacing w:val="-4"/>
          <w:u w:val="single"/>
        </w:rPr>
        <w:t>www.</w:t>
      </w:r>
      <w:r w:rsidR="00251C85" w:rsidRPr="00D0419E">
        <w:rPr>
          <w:spacing w:val="-4"/>
          <w:u w:val="single"/>
          <w:lang w:val="en-US"/>
        </w:rPr>
        <w:t>GeneralElectric</w:t>
      </w:r>
      <w:r w:rsidRPr="00D0419E">
        <w:rPr>
          <w:spacing w:val="-4"/>
          <w:u w:val="single"/>
          <w:lang w:val="en-US"/>
        </w:rPr>
        <w:t>Securities</w:t>
      </w:r>
      <w:r w:rsidRPr="00D0419E">
        <w:rPr>
          <w:spacing w:val="-4"/>
          <w:u w:val="single"/>
        </w:rPr>
        <w:t>Litigation.com</w:t>
      </w:r>
      <w:r w:rsidRPr="00D0419E">
        <w:rPr>
          <w:spacing w:val="-4"/>
        </w:rPr>
        <w:t>.</w:t>
      </w:r>
    </w:p>
    <w:p w14:paraId="2973E652" w14:textId="43B859C8" w:rsidR="008B1B77" w:rsidRPr="007B2920" w:rsidRDefault="00670596" w:rsidP="00FA5A1B">
      <w:pPr>
        <w:pStyle w:val="Heading1"/>
        <w:numPr>
          <w:ilvl w:val="0"/>
          <w:numId w:val="15"/>
        </w:numPr>
        <w:spacing w:before="180" w:after="180"/>
        <w:ind w:left="0" w:firstLine="360"/>
      </w:pPr>
      <w:r w:rsidRPr="007B2920">
        <w:rPr>
          <w:b/>
          <w:u w:val="single"/>
        </w:rPr>
        <w:t>Reasons for the Settlement</w:t>
      </w:r>
      <w:r w:rsidRPr="007B2920">
        <w:rPr>
          <w:b/>
        </w:rPr>
        <w:t>:</w:t>
      </w:r>
      <w:r w:rsidR="00996210" w:rsidRPr="007B2920">
        <w:t xml:space="preserve"> </w:t>
      </w:r>
      <w:r w:rsidR="00251C85" w:rsidRPr="007B2920">
        <w:rPr>
          <w:lang w:val="en-US"/>
        </w:rPr>
        <w:t>Class Representatives’</w:t>
      </w:r>
      <w:r w:rsidRPr="007B2920">
        <w:t xml:space="preserve"> principal reason for </w:t>
      </w:r>
      <w:r w:rsidRPr="007B2920">
        <w:rPr>
          <w:lang w:val="en-US"/>
        </w:rPr>
        <w:t xml:space="preserve">entering into </w:t>
      </w:r>
      <w:r w:rsidRPr="007B2920">
        <w:t>the Settlement</w:t>
      </w:r>
      <w:r w:rsidRPr="007B2920">
        <w:rPr>
          <w:lang w:val="en-US"/>
        </w:rPr>
        <w:t xml:space="preserve"> is </w:t>
      </w:r>
      <w:r w:rsidRPr="007B2920">
        <w:t xml:space="preserve">the </w:t>
      </w:r>
      <w:r w:rsidR="0064188D" w:rsidRPr="007B2920">
        <w:rPr>
          <w:lang w:val="en-US"/>
        </w:rPr>
        <w:t>near-term</w:t>
      </w:r>
      <w:r w:rsidRPr="007B2920">
        <w:rPr>
          <w:lang w:val="en-US"/>
        </w:rPr>
        <w:t xml:space="preserve"> cash </w:t>
      </w:r>
      <w:r w:rsidRPr="007B2920">
        <w:t xml:space="preserve">benefit </w:t>
      </w:r>
      <w:r w:rsidRPr="007B2920">
        <w:rPr>
          <w:lang w:val="en-US"/>
        </w:rPr>
        <w:t>for</w:t>
      </w:r>
      <w:r w:rsidRPr="007B2920">
        <w:t xml:space="preserve"> the </w:t>
      </w:r>
      <w:r w:rsidRPr="007B2920">
        <w:rPr>
          <w:lang w:val="en-US"/>
        </w:rPr>
        <w:t xml:space="preserve">Class without the </w:t>
      </w:r>
      <w:r w:rsidR="00C614AA" w:rsidRPr="007B2920">
        <w:rPr>
          <w:lang w:val="en-US"/>
        </w:rPr>
        <w:t xml:space="preserve">substantial </w:t>
      </w:r>
      <w:r w:rsidRPr="007B2920">
        <w:rPr>
          <w:lang w:val="en-US"/>
        </w:rPr>
        <w:t xml:space="preserve">risk or the </w:t>
      </w:r>
      <w:r w:rsidRPr="007B2920">
        <w:t>delays</w:t>
      </w:r>
      <w:r w:rsidRPr="007B2920">
        <w:rPr>
          <w:lang w:val="en-US"/>
        </w:rPr>
        <w:t xml:space="preserve"> and costs </w:t>
      </w:r>
      <w:r w:rsidRPr="007B2920">
        <w:t>inherent</w:t>
      </w:r>
      <w:r w:rsidRPr="007B2920">
        <w:rPr>
          <w:lang w:val="en-US"/>
        </w:rPr>
        <w:t xml:space="preserve"> in further litigation. Here, </w:t>
      </w:r>
      <w:r w:rsidR="00251C85" w:rsidRPr="007B2920">
        <w:rPr>
          <w:lang w:val="en-US"/>
        </w:rPr>
        <w:t xml:space="preserve">had the Settlement not been reached, the Parties would have proceeded to a jury trial. Indeed, the Settlement was reached just prior to trial, which was scheduled to commence on November </w:t>
      </w:r>
      <w:r w:rsidR="001323AB" w:rsidRPr="007B2920">
        <w:rPr>
          <w:lang w:val="en-US"/>
        </w:rPr>
        <w:t>11</w:t>
      </w:r>
      <w:r w:rsidR="00251C85" w:rsidRPr="007B2920">
        <w:rPr>
          <w:lang w:val="en-US"/>
        </w:rPr>
        <w:t xml:space="preserve">, 2024. </w:t>
      </w:r>
      <w:r w:rsidRPr="007B2920">
        <w:rPr>
          <w:lang w:val="en-US"/>
        </w:rPr>
        <w:t xml:space="preserve">The benefit of the Settlement </w:t>
      </w:r>
      <w:r w:rsidRPr="007B2920">
        <w:t xml:space="preserve">must be </w:t>
      </w:r>
      <w:r w:rsidRPr="007B2920">
        <w:rPr>
          <w:lang w:val="en-US"/>
        </w:rPr>
        <w:t xml:space="preserve">considered against </w:t>
      </w:r>
      <w:r w:rsidRPr="007B2920">
        <w:t>the risk that a smaller recovery</w:t>
      </w:r>
      <w:r w:rsidR="00661378" w:rsidRPr="007B2920">
        <w:rPr>
          <w:lang w:val="en-US"/>
        </w:rPr>
        <w:t>—</w:t>
      </w:r>
      <w:r w:rsidRPr="007B2920">
        <w:t xml:space="preserve">or no recovery </w:t>
      </w:r>
      <w:r w:rsidRPr="007B2920">
        <w:rPr>
          <w:lang w:val="en-US"/>
        </w:rPr>
        <w:t>at all</w:t>
      </w:r>
      <w:r w:rsidR="00661378" w:rsidRPr="007B2920">
        <w:rPr>
          <w:lang w:val="en-US"/>
        </w:rPr>
        <w:t>—</w:t>
      </w:r>
      <w:r w:rsidRPr="007B2920">
        <w:t xml:space="preserve">might </w:t>
      </w:r>
      <w:r w:rsidRPr="007B2920">
        <w:rPr>
          <w:lang w:val="en-US"/>
        </w:rPr>
        <w:t>be</w:t>
      </w:r>
      <w:r w:rsidRPr="007B2920">
        <w:t xml:space="preserve"> achieved after trial</w:t>
      </w:r>
      <w:r w:rsidR="002947F2" w:rsidRPr="007B2920">
        <w:rPr>
          <w:lang w:val="en-US"/>
        </w:rPr>
        <w:t xml:space="preserve">, </w:t>
      </w:r>
      <w:r w:rsidR="00251C85" w:rsidRPr="007B2920">
        <w:rPr>
          <w:lang w:val="en-US"/>
        </w:rPr>
        <w:t xml:space="preserve">or after the </w:t>
      </w:r>
      <w:r w:rsidR="002947F2" w:rsidRPr="007B2920">
        <w:rPr>
          <w:lang w:val="en-US"/>
        </w:rPr>
        <w:t xml:space="preserve">likely </w:t>
      </w:r>
      <w:r w:rsidR="00251C85" w:rsidRPr="007B2920">
        <w:rPr>
          <w:lang w:val="en-US"/>
        </w:rPr>
        <w:t>appeals that would have followed a trial, including individual reliance challeng</w:t>
      </w:r>
      <w:r w:rsidR="00243206" w:rsidRPr="007B2920">
        <w:rPr>
          <w:lang w:val="en-US"/>
        </w:rPr>
        <w:t>e</w:t>
      </w:r>
      <w:r w:rsidR="00251C85" w:rsidRPr="007B2920">
        <w:rPr>
          <w:lang w:val="en-US"/>
        </w:rPr>
        <w:t xml:space="preserve">s that necessarily would have followed any trial victory for the Class. </w:t>
      </w:r>
      <w:r w:rsidRPr="007B2920">
        <w:t>Defendants, who deny all allegations of wrongdoing or liability whatsoever</w:t>
      </w:r>
      <w:r w:rsidRPr="007B2920">
        <w:rPr>
          <w:lang w:val="en-US"/>
        </w:rPr>
        <w:t xml:space="preserve"> and deny that any Class Member was damaged</w:t>
      </w:r>
      <w:r w:rsidRPr="007B2920">
        <w:t xml:space="preserve">, </w:t>
      </w:r>
      <w:r w:rsidRPr="007B2920">
        <w:rPr>
          <w:lang w:val="en-US"/>
        </w:rPr>
        <w:t>are entering into the Settlement solely to eliminate the uncertainty, burden, and expense of further litigation</w:t>
      </w:r>
      <w:r w:rsidRPr="007B2920">
        <w:t xml:space="preserve">.  </w:t>
      </w:r>
    </w:p>
    <w:p w14:paraId="5E7028F0" w14:textId="1DC64981" w:rsidR="00D0419E" w:rsidRDefault="00D0419E">
      <w:r>
        <w:br w:type="page"/>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5"/>
        <w:gridCol w:w="5869"/>
      </w:tblGrid>
      <w:tr w:rsidR="00C208DC" w:rsidRPr="007B2920" w14:paraId="609A74F5" w14:textId="77777777">
        <w:trPr>
          <w:jc w:val="center"/>
        </w:trPr>
        <w:tc>
          <w:tcPr>
            <w:tcW w:w="9464" w:type="dxa"/>
            <w:gridSpan w:val="2"/>
            <w:shd w:val="clear" w:color="auto" w:fill="CCCCCC"/>
          </w:tcPr>
          <w:p w14:paraId="5E579275" w14:textId="499118C5" w:rsidR="008B1B77" w:rsidRPr="007B2920" w:rsidRDefault="00670596" w:rsidP="007B2920">
            <w:pPr>
              <w:spacing w:before="60" w:after="120"/>
              <w:ind w:left="43"/>
              <w:jc w:val="center"/>
              <w:rPr>
                <w:b/>
              </w:rPr>
            </w:pPr>
            <w:r w:rsidRPr="007B2920">
              <w:rPr>
                <w:b/>
              </w:rPr>
              <w:lastRenderedPageBreak/>
              <w:t>YOUR LEGAL RIGHTS AND OPTIONS IN THE SETTLEMENT:</w:t>
            </w:r>
          </w:p>
        </w:tc>
      </w:tr>
      <w:tr w:rsidR="00C208DC" w:rsidRPr="007B2920" w14:paraId="45A620A3" w14:textId="77777777" w:rsidTr="00543A7F">
        <w:trPr>
          <w:jc w:val="center"/>
        </w:trPr>
        <w:tc>
          <w:tcPr>
            <w:tcW w:w="3595" w:type="dxa"/>
            <w:shd w:val="clear" w:color="auto" w:fill="CCCCCC"/>
          </w:tcPr>
          <w:p w14:paraId="2085CEC5" w14:textId="67A61EA0" w:rsidR="008B1B77" w:rsidRPr="007B2920" w:rsidRDefault="00670596" w:rsidP="007B2920">
            <w:pPr>
              <w:spacing w:before="60" w:after="120"/>
              <w:rPr>
                <w:b/>
              </w:rPr>
            </w:pPr>
            <w:r w:rsidRPr="007B2920">
              <w:rPr>
                <w:b/>
              </w:rPr>
              <w:t>SUBMIT A CLAIM FORM POSTMARKED (IF MAILED), OR ONLINE, NO LATER THAN</w:t>
            </w:r>
            <w:r w:rsidR="008D56C6">
              <w:rPr>
                <w:b/>
              </w:rPr>
              <w:t xml:space="preserve"> JUNE 20,</w:t>
            </w:r>
            <w:r w:rsidRPr="007B2920">
              <w:rPr>
                <w:b/>
              </w:rPr>
              <w:t xml:space="preserve"> 202</w:t>
            </w:r>
            <w:r w:rsidR="00243206" w:rsidRPr="007B2920">
              <w:rPr>
                <w:b/>
              </w:rPr>
              <w:t>5.</w:t>
            </w:r>
          </w:p>
        </w:tc>
        <w:tc>
          <w:tcPr>
            <w:tcW w:w="5869" w:type="dxa"/>
          </w:tcPr>
          <w:p w14:paraId="485A2765" w14:textId="483414EB" w:rsidR="008B1B77" w:rsidRPr="007B2920" w:rsidRDefault="00670596" w:rsidP="007B2920">
            <w:pPr>
              <w:spacing w:before="60" w:after="60"/>
              <w:ind w:left="43"/>
              <w:jc w:val="both"/>
            </w:pPr>
            <w:r w:rsidRPr="007B2920">
              <w:t xml:space="preserve">This is the only way to be eligible to receive a </w:t>
            </w:r>
            <w:r w:rsidR="009D6A69" w:rsidRPr="007B2920">
              <w:t>payment from the Settlement</w:t>
            </w:r>
            <w:r w:rsidRPr="007B2920">
              <w:t xml:space="preserve">. If you are a Class Member, you will be bound by the Settlement as approved by the Court and you will give up any Released </w:t>
            </w:r>
            <w:r w:rsidR="009D6A69" w:rsidRPr="007B2920">
              <w:t>Plaintiffs’</w:t>
            </w:r>
            <w:r w:rsidR="00503CDC" w:rsidRPr="007B2920">
              <w:t xml:space="preserve"> Claims (defined in ¶ </w:t>
            </w:r>
            <w:r w:rsidR="002143C0" w:rsidRPr="007B2920">
              <w:t>45</w:t>
            </w:r>
            <w:r w:rsidRPr="007B2920">
              <w:t xml:space="preserve"> below) that you have against Defendants and the other Defendants’ Releasees (defin</w:t>
            </w:r>
            <w:r w:rsidR="00503CDC" w:rsidRPr="007B2920">
              <w:t xml:space="preserve">ed in ¶ </w:t>
            </w:r>
            <w:r w:rsidR="002143C0" w:rsidRPr="007B2920">
              <w:t>46</w:t>
            </w:r>
            <w:r w:rsidRPr="007B2920">
              <w:t xml:space="preserve"> below), so it is in your interest to submit a Claim Form.</w:t>
            </w:r>
          </w:p>
        </w:tc>
      </w:tr>
      <w:tr w:rsidR="00C208DC" w:rsidRPr="007B2920" w14:paraId="0E38243C" w14:textId="77777777" w:rsidTr="00543A7F">
        <w:trPr>
          <w:cantSplit/>
          <w:jc w:val="center"/>
        </w:trPr>
        <w:tc>
          <w:tcPr>
            <w:tcW w:w="3595" w:type="dxa"/>
            <w:shd w:val="clear" w:color="auto" w:fill="CCCCCC"/>
          </w:tcPr>
          <w:p w14:paraId="08BB3506" w14:textId="16996F3C" w:rsidR="009D6A69" w:rsidRPr="007B2920" w:rsidRDefault="00670596" w:rsidP="007B2920">
            <w:pPr>
              <w:spacing w:before="60" w:after="120"/>
              <w:rPr>
                <w:b/>
              </w:rPr>
            </w:pPr>
            <w:r w:rsidRPr="007B2920">
              <w:rPr>
                <w:b/>
              </w:rPr>
              <w:t xml:space="preserve">OPT BACK INTO THE CLASS IF YOU PREVIOUSLY </w:t>
            </w:r>
            <w:r w:rsidR="00E404F6" w:rsidRPr="007B2920">
              <w:rPr>
                <w:b/>
              </w:rPr>
              <w:t>EXCLUDE</w:t>
            </w:r>
            <w:r w:rsidRPr="007B2920">
              <w:rPr>
                <w:b/>
              </w:rPr>
              <w:t>D</w:t>
            </w:r>
            <w:r w:rsidR="00E404F6" w:rsidRPr="007B2920">
              <w:rPr>
                <w:b/>
              </w:rPr>
              <w:t xml:space="preserve"> YOURSELF FROM THE CLASS BY SUBMITTING A WRITTEN REQUEST </w:t>
            </w:r>
            <w:r w:rsidRPr="007B2920">
              <w:rPr>
                <w:b/>
              </w:rPr>
              <w:t>TO OPT BACK INTO THE CLASS</w:t>
            </w:r>
            <w:r w:rsidR="00E404F6" w:rsidRPr="007B2920">
              <w:rPr>
                <w:b/>
              </w:rPr>
              <w:t xml:space="preserve"> SO THAT IT IS </w:t>
            </w:r>
            <w:r w:rsidR="00E404F6" w:rsidRPr="007B2920">
              <w:rPr>
                <w:b/>
                <w:i/>
              </w:rPr>
              <w:t>RECEIVED</w:t>
            </w:r>
            <w:r w:rsidR="00E404F6" w:rsidRPr="007B2920">
              <w:rPr>
                <w:b/>
              </w:rPr>
              <w:t xml:space="preserve"> NO LATER THAN</w:t>
            </w:r>
            <w:r w:rsidR="008D56C6">
              <w:rPr>
                <w:b/>
              </w:rPr>
              <w:t xml:space="preserve"> APRIL 3</w:t>
            </w:r>
            <w:r w:rsidR="002A4F8F" w:rsidRPr="007B2920">
              <w:rPr>
                <w:b/>
              </w:rPr>
              <w:t xml:space="preserve">, </w:t>
            </w:r>
            <w:r w:rsidR="00E404F6" w:rsidRPr="007B2920">
              <w:rPr>
                <w:b/>
              </w:rPr>
              <w:t>202</w:t>
            </w:r>
            <w:r w:rsidRPr="007B2920">
              <w:rPr>
                <w:b/>
              </w:rPr>
              <w:t>5</w:t>
            </w:r>
            <w:r w:rsidR="00E404F6" w:rsidRPr="007B2920">
              <w:rPr>
                <w:b/>
              </w:rPr>
              <w:t>.</w:t>
            </w:r>
          </w:p>
        </w:tc>
        <w:tc>
          <w:tcPr>
            <w:tcW w:w="5869" w:type="dxa"/>
          </w:tcPr>
          <w:p w14:paraId="10EDCF58" w14:textId="17A5E91F" w:rsidR="009D6A69" w:rsidRPr="007B2920" w:rsidRDefault="00670596" w:rsidP="007B2920">
            <w:pPr>
              <w:spacing w:before="60" w:after="60"/>
              <w:ind w:left="43"/>
              <w:jc w:val="both"/>
            </w:pPr>
            <w:r w:rsidRPr="007B2920">
              <w:t xml:space="preserve">If you previously submitted a request for exclusion from the Class in connection with </w:t>
            </w:r>
            <w:r w:rsidR="009949CD">
              <w:t xml:space="preserve">the </w:t>
            </w:r>
            <w:r w:rsidRPr="007B2920">
              <w:t xml:space="preserve">Class Notice and now want to be part of the Class </w:t>
            </w:r>
            <w:r w:rsidR="005872B1" w:rsidRPr="007B2920">
              <w:t>so that</w:t>
            </w:r>
            <w:r w:rsidRPr="007B2920">
              <w:t xml:space="preserve"> you </w:t>
            </w:r>
            <w:r w:rsidR="005872B1" w:rsidRPr="007B2920">
              <w:t xml:space="preserve">can submit a Claim and be </w:t>
            </w:r>
            <w:r w:rsidRPr="007B2920">
              <w:t>eligible to receive a payment from the Settlement, you must follow the steps for “Opting Back Into the Class” as set forth in ¶</w:t>
            </w:r>
            <w:r w:rsidR="006C45F5" w:rsidRPr="007B2920">
              <w:t>¶</w:t>
            </w:r>
            <w:r w:rsidRPr="007B2920">
              <w:t xml:space="preserve"> </w:t>
            </w:r>
            <w:r w:rsidR="006C45F5" w:rsidRPr="007B2920">
              <w:t>64-67</w:t>
            </w:r>
            <w:r w:rsidRPr="007B2920">
              <w:t xml:space="preserve"> below. If you previously submitted a request for exclusion from the Class in connection with </w:t>
            </w:r>
            <w:r w:rsidR="009949CD">
              <w:t xml:space="preserve">the </w:t>
            </w:r>
            <w:r w:rsidRPr="007B2920">
              <w:t>Class Notice and wish to remain excluded from the Class, no further action is necessary.</w:t>
            </w:r>
          </w:p>
        </w:tc>
      </w:tr>
      <w:tr w:rsidR="00C208DC" w:rsidRPr="007B2920" w14:paraId="46F96E9A" w14:textId="77777777" w:rsidTr="00543A7F">
        <w:trPr>
          <w:cantSplit/>
          <w:jc w:val="center"/>
        </w:trPr>
        <w:tc>
          <w:tcPr>
            <w:tcW w:w="3595" w:type="dxa"/>
            <w:shd w:val="clear" w:color="auto" w:fill="CCCCCC"/>
          </w:tcPr>
          <w:p w14:paraId="113EE9FB" w14:textId="4469327E" w:rsidR="008B1B77" w:rsidRPr="007B2920" w:rsidRDefault="00670596" w:rsidP="007B2920">
            <w:pPr>
              <w:spacing w:before="60" w:after="120"/>
            </w:pPr>
            <w:r w:rsidRPr="007B2920">
              <w:rPr>
                <w:b/>
              </w:rPr>
              <w:t xml:space="preserve">OBJECT TO THE SETTLEMENT BY SUBMITTING A WRITTEN OBJECTION SO THAT IT IS </w:t>
            </w:r>
            <w:r w:rsidRPr="007B2920">
              <w:rPr>
                <w:b/>
                <w:i/>
              </w:rPr>
              <w:t>RECEIVED</w:t>
            </w:r>
            <w:r w:rsidRPr="007B2920">
              <w:rPr>
                <w:b/>
              </w:rPr>
              <w:t xml:space="preserve"> NO LATER THAN</w:t>
            </w:r>
            <w:r w:rsidR="008D56C6">
              <w:rPr>
                <w:b/>
              </w:rPr>
              <w:t xml:space="preserve"> APRIL 3</w:t>
            </w:r>
            <w:r w:rsidR="002A4F8F" w:rsidRPr="007B2920">
              <w:rPr>
                <w:b/>
              </w:rPr>
              <w:t xml:space="preserve">, </w:t>
            </w:r>
            <w:r w:rsidRPr="007B2920">
              <w:rPr>
                <w:b/>
              </w:rPr>
              <w:t>202</w:t>
            </w:r>
            <w:r w:rsidR="00243206" w:rsidRPr="007B2920">
              <w:rPr>
                <w:b/>
              </w:rPr>
              <w:t>5</w:t>
            </w:r>
            <w:r w:rsidRPr="007B2920">
              <w:rPr>
                <w:b/>
              </w:rPr>
              <w:t xml:space="preserve">. </w:t>
            </w:r>
          </w:p>
        </w:tc>
        <w:tc>
          <w:tcPr>
            <w:tcW w:w="5869" w:type="dxa"/>
          </w:tcPr>
          <w:p w14:paraId="35A2F0B7" w14:textId="69F68C6E" w:rsidR="008B1B77" w:rsidRPr="007B2920" w:rsidRDefault="00670596" w:rsidP="007B2920">
            <w:pPr>
              <w:spacing w:before="60" w:after="60"/>
              <w:ind w:left="43"/>
              <w:jc w:val="both"/>
            </w:pPr>
            <w:r w:rsidRPr="007B2920">
              <w:t xml:space="preserve">If you do not like the proposed Settlement, the proposed Plan of Allocation, and/or </w:t>
            </w:r>
            <w:r w:rsidR="00243206" w:rsidRPr="007B2920">
              <w:t>Class</w:t>
            </w:r>
            <w:r w:rsidR="00543A7F" w:rsidRPr="007B2920">
              <w:t xml:space="preserve"> Counsel’s request for</w:t>
            </w:r>
            <w:r w:rsidRPr="007B2920">
              <w:t xml:space="preserve"> attorneys’ fees and Litigation Expenses, you may object by writing to the Court</w:t>
            </w:r>
            <w:r w:rsidR="008C102D" w:rsidRPr="007B2920">
              <w:t xml:space="preserve"> (as described in ¶</w:t>
            </w:r>
            <w:r w:rsidR="00BB2FE9" w:rsidRPr="007B2920">
              <w:t>¶</w:t>
            </w:r>
            <w:r w:rsidR="008C102D" w:rsidRPr="007B2920">
              <w:t xml:space="preserve"> </w:t>
            </w:r>
            <w:r w:rsidR="006A571A" w:rsidRPr="007B2920">
              <w:t>72</w:t>
            </w:r>
            <w:r w:rsidR="00243206" w:rsidRPr="007B2920">
              <w:t>-</w:t>
            </w:r>
            <w:r w:rsidR="006A571A" w:rsidRPr="007B2920">
              <w:t>78</w:t>
            </w:r>
            <w:r w:rsidR="008C102D" w:rsidRPr="007B2920">
              <w:t xml:space="preserve"> below).</w:t>
            </w:r>
            <w:r w:rsidRPr="007B2920">
              <w:t xml:space="preserve"> </w:t>
            </w:r>
            <w:proofErr w:type="gramStart"/>
            <w:r w:rsidRPr="007B2920">
              <w:t>In order to</w:t>
            </w:r>
            <w:proofErr w:type="gramEnd"/>
            <w:r w:rsidRPr="007B2920">
              <w:t xml:space="preserve"> object, you must be a member of the Class. </w:t>
            </w:r>
          </w:p>
        </w:tc>
      </w:tr>
      <w:tr w:rsidR="00C208DC" w:rsidRPr="007B2920" w14:paraId="275E5652" w14:textId="77777777" w:rsidTr="00543A7F">
        <w:trPr>
          <w:jc w:val="center"/>
        </w:trPr>
        <w:tc>
          <w:tcPr>
            <w:tcW w:w="3595" w:type="dxa"/>
            <w:shd w:val="clear" w:color="auto" w:fill="CCCCCC"/>
          </w:tcPr>
          <w:p w14:paraId="6A14E6C7" w14:textId="1D87236F" w:rsidR="008B1B77" w:rsidRPr="007B2920" w:rsidRDefault="00670596" w:rsidP="007B2920">
            <w:pPr>
              <w:spacing w:before="60" w:after="120"/>
            </w:pPr>
            <w:r w:rsidRPr="007B2920">
              <w:rPr>
                <w:b/>
              </w:rPr>
              <w:t xml:space="preserve">GO TO A HEARING ON </w:t>
            </w:r>
            <w:r w:rsidR="008D56C6">
              <w:rPr>
                <w:b/>
              </w:rPr>
              <w:t xml:space="preserve">APRIL 24, </w:t>
            </w:r>
            <w:proofErr w:type="gramStart"/>
            <w:r w:rsidR="008D56C6">
              <w:rPr>
                <w:b/>
              </w:rPr>
              <w:t>2025</w:t>
            </w:r>
            <w:proofErr w:type="gramEnd"/>
            <w:r w:rsidR="008D56C6">
              <w:rPr>
                <w:b/>
              </w:rPr>
              <w:t xml:space="preserve"> </w:t>
            </w:r>
            <w:r w:rsidRPr="007B2920">
              <w:rPr>
                <w:b/>
              </w:rPr>
              <w:t>AT</w:t>
            </w:r>
            <w:r w:rsidR="008D56C6">
              <w:rPr>
                <w:b/>
              </w:rPr>
              <w:t xml:space="preserve"> 11:00 A</w:t>
            </w:r>
            <w:r w:rsidRPr="007B2920">
              <w:rPr>
                <w:b/>
              </w:rPr>
              <w:t xml:space="preserve">.M. AND FILE A NOTICE OF INTENTION TO APPEAR SO THAT IT IS </w:t>
            </w:r>
            <w:r w:rsidRPr="007B2920">
              <w:rPr>
                <w:b/>
                <w:i/>
              </w:rPr>
              <w:t>RECEIVED</w:t>
            </w:r>
            <w:r w:rsidRPr="007B2920">
              <w:rPr>
                <w:b/>
              </w:rPr>
              <w:t xml:space="preserve"> NO LATER THAN</w:t>
            </w:r>
            <w:r w:rsidR="008D56C6">
              <w:rPr>
                <w:b/>
              </w:rPr>
              <w:t xml:space="preserve"> APRIL 3, 2025</w:t>
            </w:r>
            <w:r w:rsidRPr="007B2920">
              <w:rPr>
                <w:b/>
              </w:rPr>
              <w:t>.</w:t>
            </w:r>
          </w:p>
        </w:tc>
        <w:tc>
          <w:tcPr>
            <w:tcW w:w="5869" w:type="dxa"/>
          </w:tcPr>
          <w:p w14:paraId="3EE66285" w14:textId="068F3A47" w:rsidR="008B1B77" w:rsidRPr="007B2920" w:rsidRDefault="00670596" w:rsidP="007B2920">
            <w:pPr>
              <w:spacing w:before="60" w:after="60"/>
              <w:ind w:left="43"/>
              <w:jc w:val="both"/>
            </w:pPr>
            <w:r w:rsidRPr="007B2920">
              <w:rPr>
                <w:color w:val="000000"/>
              </w:rPr>
              <w:t xml:space="preserve">Ask to speak in Court at the Settlement Hearing, </w:t>
            </w:r>
            <w:r w:rsidRPr="007B2920">
              <w:t xml:space="preserve">at the discretion of the Court, about the proposed Settlement, the proposed Plan of Allocation, and/or </w:t>
            </w:r>
            <w:r w:rsidR="00243206" w:rsidRPr="007B2920">
              <w:t xml:space="preserve">Class </w:t>
            </w:r>
            <w:r w:rsidRPr="007B2920">
              <w:t>Counsel’s request for attorneys’ fees and Litigation Expenses.</w:t>
            </w:r>
          </w:p>
        </w:tc>
      </w:tr>
      <w:tr w:rsidR="00C208DC" w:rsidRPr="007B2920" w14:paraId="1592E659" w14:textId="77777777" w:rsidTr="00543A7F">
        <w:trPr>
          <w:cantSplit/>
          <w:jc w:val="center"/>
        </w:trPr>
        <w:tc>
          <w:tcPr>
            <w:tcW w:w="3595" w:type="dxa"/>
            <w:shd w:val="clear" w:color="auto" w:fill="CCCCCC"/>
          </w:tcPr>
          <w:p w14:paraId="69223EA2" w14:textId="77777777" w:rsidR="008B1B77" w:rsidRPr="007B2920" w:rsidRDefault="00670596" w:rsidP="007B2920">
            <w:pPr>
              <w:spacing w:before="60" w:after="120"/>
            </w:pPr>
            <w:r w:rsidRPr="007B2920">
              <w:rPr>
                <w:b/>
              </w:rPr>
              <w:t>DO NOTHING.</w:t>
            </w:r>
          </w:p>
        </w:tc>
        <w:tc>
          <w:tcPr>
            <w:tcW w:w="5869" w:type="dxa"/>
          </w:tcPr>
          <w:p w14:paraId="61C9CB8E" w14:textId="3FBB6B84" w:rsidR="008B1B77" w:rsidRPr="007B2920" w:rsidRDefault="00670596" w:rsidP="007B2920">
            <w:pPr>
              <w:spacing w:before="60" w:after="60"/>
              <w:ind w:left="43"/>
              <w:jc w:val="both"/>
            </w:pPr>
            <w:r w:rsidRPr="007B2920">
              <w:t xml:space="preserve">Get no payment from the Settlement. You will, however, remain a member of the Class, which means that you give up any right you may have to sue about the claims that are being resolved by the </w:t>
            </w:r>
            <w:proofErr w:type="gramStart"/>
            <w:r w:rsidRPr="007B2920">
              <w:t>Settlement</w:t>
            </w:r>
            <w:proofErr w:type="gramEnd"/>
            <w:r w:rsidRPr="007B2920">
              <w:t xml:space="preserve"> and you will be bound by any judgments or orders entered by the Court in the Action.</w:t>
            </w:r>
          </w:p>
        </w:tc>
      </w:tr>
    </w:tbl>
    <w:p w14:paraId="6D994FF8" w14:textId="77777777" w:rsidR="00543A7F" w:rsidRPr="007B2920" w:rsidRDefault="00543A7F" w:rsidP="007B2920">
      <w:pPr>
        <w:pStyle w:val="Lm"/>
        <w:widowControl/>
        <w:numPr>
          <w:ilvl w:val="0"/>
          <w:numId w:val="0"/>
        </w:numPr>
        <w:jc w:val="both"/>
        <w:outlineLvl w:val="9"/>
        <w:rPr>
          <w:rFonts w:ascii="Times New Roman" w:hAnsi="Times New Roman"/>
          <w:b/>
        </w:rPr>
      </w:pPr>
    </w:p>
    <w:p w14:paraId="4FE4E8D1" w14:textId="0C0DDDF2" w:rsidR="008B1B77" w:rsidRPr="007B2920" w:rsidRDefault="00670596" w:rsidP="007B2920">
      <w:pPr>
        <w:pStyle w:val="Lm"/>
        <w:widowControl/>
        <w:numPr>
          <w:ilvl w:val="0"/>
          <w:numId w:val="0"/>
        </w:numPr>
        <w:jc w:val="both"/>
        <w:outlineLvl w:val="9"/>
        <w:rPr>
          <w:rFonts w:ascii="Times New Roman" w:hAnsi="Times New Roman"/>
          <w:b/>
        </w:rPr>
      </w:pPr>
      <w:r w:rsidRPr="007B2920">
        <w:rPr>
          <w:rFonts w:ascii="Times New Roman" w:hAnsi="Times New Roman"/>
          <w:b/>
        </w:rPr>
        <w:t xml:space="preserve">These rights and options – and the deadlines to exercise them – are further explained in this Notice. </w:t>
      </w:r>
      <w:r w:rsidRPr="007B2920">
        <w:rPr>
          <w:rFonts w:ascii="Times New Roman" w:hAnsi="Times New Roman"/>
          <w:b/>
          <w:u w:val="single"/>
        </w:rPr>
        <w:t>Please Note</w:t>
      </w:r>
      <w:r w:rsidRPr="007B2920">
        <w:rPr>
          <w:rFonts w:ascii="Times New Roman" w:hAnsi="Times New Roman"/>
          <w:b/>
        </w:rPr>
        <w:t xml:space="preserve">: The date and time of the Settlement Hearing – currently scheduled for </w:t>
      </w:r>
      <w:r w:rsidR="008D56C6">
        <w:rPr>
          <w:rFonts w:ascii="Times New Roman" w:hAnsi="Times New Roman"/>
          <w:b/>
        </w:rPr>
        <w:t xml:space="preserve">April 24, </w:t>
      </w:r>
      <w:proofErr w:type="gramStart"/>
      <w:r w:rsidR="008D56C6">
        <w:rPr>
          <w:rFonts w:ascii="Times New Roman" w:hAnsi="Times New Roman"/>
          <w:b/>
        </w:rPr>
        <w:t>2025</w:t>
      </w:r>
      <w:proofErr w:type="gramEnd"/>
      <w:r w:rsidR="008D56C6">
        <w:rPr>
          <w:rFonts w:ascii="Times New Roman" w:hAnsi="Times New Roman"/>
          <w:b/>
        </w:rPr>
        <w:t xml:space="preserve"> </w:t>
      </w:r>
      <w:r w:rsidRPr="007B2920">
        <w:rPr>
          <w:rFonts w:ascii="Times New Roman" w:hAnsi="Times New Roman"/>
          <w:b/>
        </w:rPr>
        <w:t>at</w:t>
      </w:r>
      <w:r w:rsidR="008D56C6">
        <w:rPr>
          <w:rFonts w:ascii="Times New Roman" w:hAnsi="Times New Roman"/>
          <w:b/>
        </w:rPr>
        <w:t xml:space="preserve"> 11:00 a</w:t>
      </w:r>
      <w:r w:rsidRPr="007B2920">
        <w:rPr>
          <w:rFonts w:ascii="Times New Roman" w:hAnsi="Times New Roman"/>
          <w:b/>
        </w:rPr>
        <w:t>.m.</w:t>
      </w:r>
      <w:r w:rsidR="00243206" w:rsidRPr="007B2920">
        <w:rPr>
          <w:rFonts w:ascii="Times New Roman" w:hAnsi="Times New Roman"/>
          <w:b/>
        </w:rPr>
        <w:t xml:space="preserve"> </w:t>
      </w:r>
      <w:r w:rsidRPr="007B2920">
        <w:rPr>
          <w:rFonts w:ascii="Times New Roman" w:hAnsi="Times New Roman"/>
          <w:b/>
        </w:rPr>
        <w:t xml:space="preserve">– is subject to change without further </w:t>
      </w:r>
      <w:r w:rsidR="005872B1" w:rsidRPr="007B2920">
        <w:rPr>
          <w:rFonts w:ascii="Times New Roman" w:hAnsi="Times New Roman"/>
          <w:b/>
        </w:rPr>
        <w:t xml:space="preserve">written </w:t>
      </w:r>
      <w:r w:rsidRPr="007B2920">
        <w:rPr>
          <w:rFonts w:ascii="Times New Roman" w:hAnsi="Times New Roman"/>
          <w:b/>
        </w:rPr>
        <w:t>notice to the Class.</w:t>
      </w:r>
      <w:r w:rsidR="00503CDC" w:rsidRPr="007B2920">
        <w:rPr>
          <w:rFonts w:ascii="Times New Roman" w:hAnsi="Times New Roman"/>
          <w:b/>
        </w:rPr>
        <w:t xml:space="preserve"> </w:t>
      </w:r>
      <w:r w:rsidR="00503CDC" w:rsidRPr="007B2920">
        <w:rPr>
          <w:rFonts w:ascii="Times New Roman" w:hAnsi="Times New Roman"/>
          <w:b/>
          <w:bCs/>
          <w:color w:val="000000"/>
        </w:rPr>
        <w:t>It is also within the Court’s discretion to hold the hearing in person or by telephone or video conference.</w:t>
      </w:r>
      <w:r w:rsidRPr="007B2920">
        <w:rPr>
          <w:rFonts w:ascii="Times New Roman" w:hAnsi="Times New Roman"/>
          <w:b/>
        </w:rPr>
        <w:t xml:space="preserve"> If you plan to attend the </w:t>
      </w:r>
      <w:r w:rsidR="00503CDC" w:rsidRPr="007B2920">
        <w:rPr>
          <w:rFonts w:ascii="Times New Roman" w:hAnsi="Times New Roman"/>
          <w:b/>
        </w:rPr>
        <w:t>Settlement Hearing</w:t>
      </w:r>
      <w:r w:rsidRPr="007B2920">
        <w:rPr>
          <w:rFonts w:ascii="Times New Roman" w:hAnsi="Times New Roman"/>
          <w:b/>
        </w:rPr>
        <w:t xml:space="preserve">, you should check the website </w:t>
      </w:r>
      <w:r w:rsidRPr="007B2920">
        <w:rPr>
          <w:rFonts w:ascii="Times New Roman" w:hAnsi="Times New Roman"/>
          <w:b/>
          <w:u w:val="single"/>
        </w:rPr>
        <w:t>www.</w:t>
      </w:r>
      <w:r w:rsidR="00243206" w:rsidRPr="007B2920">
        <w:rPr>
          <w:rFonts w:ascii="Times New Roman" w:hAnsi="Times New Roman"/>
          <w:b/>
          <w:u w:val="single"/>
        </w:rPr>
        <w:t>GeneralElectric</w:t>
      </w:r>
      <w:r w:rsidRPr="007B2920">
        <w:rPr>
          <w:rFonts w:ascii="Times New Roman" w:hAnsi="Times New Roman"/>
          <w:b/>
          <w:u w:val="single"/>
        </w:rPr>
        <w:t>SecuritiesLitigation.com</w:t>
      </w:r>
      <w:r w:rsidR="00543A7F" w:rsidRPr="007B2920">
        <w:rPr>
          <w:rFonts w:ascii="Times New Roman" w:hAnsi="Times New Roman"/>
          <w:b/>
        </w:rPr>
        <w:t xml:space="preserve"> or with </w:t>
      </w:r>
      <w:r w:rsidR="00243206" w:rsidRPr="007B2920">
        <w:rPr>
          <w:rFonts w:ascii="Times New Roman" w:hAnsi="Times New Roman"/>
          <w:b/>
        </w:rPr>
        <w:t>Class</w:t>
      </w:r>
      <w:r w:rsidR="00543A7F" w:rsidRPr="007B2920">
        <w:rPr>
          <w:rFonts w:ascii="Times New Roman" w:hAnsi="Times New Roman"/>
          <w:b/>
        </w:rPr>
        <w:t xml:space="preserve"> Counsel </w:t>
      </w:r>
      <w:r w:rsidRPr="007B2920">
        <w:rPr>
          <w:rFonts w:ascii="Times New Roman" w:hAnsi="Times New Roman"/>
          <w:b/>
        </w:rPr>
        <w:t>to confirm that no change to the date and/or time of the hearing has been made.</w:t>
      </w:r>
    </w:p>
    <w:p w14:paraId="5D4BD8D6" w14:textId="77777777" w:rsidR="008B1B77" w:rsidRPr="007B2920" w:rsidRDefault="008B1B77" w:rsidP="007B2920">
      <w:pPr>
        <w:pStyle w:val="Lm"/>
        <w:widowControl/>
        <w:numPr>
          <w:ilvl w:val="0"/>
          <w:numId w:val="0"/>
        </w:numPr>
        <w:outlineLvl w:val="9"/>
        <w:rPr>
          <w:rFonts w:ascii="Times New Roman" w:hAnsi="Times New Roman"/>
        </w:rPr>
      </w:pPr>
    </w:p>
    <w:tbl>
      <w:tblPr>
        <w:tblW w:w="9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486"/>
      </w:tblGrid>
      <w:tr w:rsidR="00C208DC" w:rsidRPr="007B2920" w14:paraId="0D8BCF18" w14:textId="77777777">
        <w:trPr>
          <w:jc w:val="center"/>
        </w:trPr>
        <w:tc>
          <w:tcPr>
            <w:tcW w:w="9486" w:type="dxa"/>
            <w:shd w:val="clear" w:color="auto" w:fill="E0E0E0"/>
          </w:tcPr>
          <w:p w14:paraId="41CA6B86" w14:textId="77777777" w:rsidR="008B1B77" w:rsidRPr="007B2920" w:rsidRDefault="00670596" w:rsidP="00865662">
            <w:pPr>
              <w:keepNext/>
              <w:keepLines/>
              <w:spacing w:before="60" w:after="60"/>
              <w:jc w:val="center"/>
              <w:rPr>
                <w:b/>
              </w:rPr>
            </w:pPr>
            <w:r w:rsidRPr="007B2920">
              <w:rPr>
                <w:b/>
              </w:rPr>
              <w:lastRenderedPageBreak/>
              <w:br w:type="page"/>
              <w:t>WHAT THIS NOTICE CONTAINS</w:t>
            </w:r>
          </w:p>
        </w:tc>
      </w:tr>
    </w:tbl>
    <w:p w14:paraId="47949646" w14:textId="77777777" w:rsidR="008B1B77" w:rsidRPr="007B2920" w:rsidRDefault="008B1B77" w:rsidP="007B2920">
      <w:pPr>
        <w:keepLines/>
        <w:tabs>
          <w:tab w:val="left" w:pos="-180"/>
        </w:tabs>
        <w:ind w:left="-907"/>
      </w:pPr>
    </w:p>
    <w:p w14:paraId="2A55CB01" w14:textId="348711FD" w:rsidR="008B1B77" w:rsidRPr="007B2920" w:rsidRDefault="00670596" w:rsidP="00FA5A1B">
      <w:pPr>
        <w:pStyle w:val="BodyText2"/>
        <w:keepLines/>
        <w:widowControl/>
        <w:tabs>
          <w:tab w:val="right" w:leader="dot" w:pos="9270"/>
        </w:tabs>
        <w:jc w:val="left"/>
        <w:rPr>
          <w:rFonts w:cs="Times New Roman"/>
        </w:rPr>
      </w:pPr>
      <w:r w:rsidRPr="007B2920">
        <w:rPr>
          <w:rFonts w:cs="Times New Roman"/>
        </w:rPr>
        <w:t xml:space="preserve">What Is </w:t>
      </w:r>
      <w:proofErr w:type="gramStart"/>
      <w:r w:rsidRPr="007B2920">
        <w:rPr>
          <w:rFonts w:cs="Times New Roman"/>
        </w:rPr>
        <w:t>The</w:t>
      </w:r>
      <w:proofErr w:type="gramEnd"/>
      <w:r w:rsidRPr="007B2920">
        <w:rPr>
          <w:rFonts w:cs="Times New Roman"/>
        </w:rPr>
        <w:t xml:space="preserve"> Purpose Of This Notice?</w:t>
      </w:r>
      <w:r w:rsidRPr="007B2920">
        <w:rPr>
          <w:rFonts w:cs="Times New Roman"/>
        </w:rPr>
        <w:tab/>
        <w:t xml:space="preserve">Page </w:t>
      </w:r>
      <w:r w:rsidR="00084138">
        <w:rPr>
          <w:rFonts w:cs="Times New Roman"/>
        </w:rPr>
        <w:t>5</w:t>
      </w:r>
    </w:p>
    <w:p w14:paraId="3859BB75" w14:textId="06DCC80E" w:rsidR="008B1B77" w:rsidRPr="007B2920" w:rsidRDefault="00670596" w:rsidP="00FA5A1B">
      <w:pPr>
        <w:pStyle w:val="BodyText2"/>
        <w:widowControl/>
        <w:tabs>
          <w:tab w:val="right" w:leader="dot" w:pos="9270"/>
        </w:tabs>
        <w:jc w:val="left"/>
        <w:rPr>
          <w:rFonts w:cs="Times New Roman"/>
        </w:rPr>
      </w:pPr>
      <w:r w:rsidRPr="007B2920">
        <w:rPr>
          <w:rFonts w:cs="Times New Roman"/>
        </w:rPr>
        <w:t xml:space="preserve">What Is This Case About?  </w:t>
      </w:r>
      <w:r w:rsidRPr="007B2920">
        <w:rPr>
          <w:rFonts w:cs="Times New Roman"/>
        </w:rPr>
        <w:tab/>
        <w:t xml:space="preserve">Page </w:t>
      </w:r>
      <w:r w:rsidR="00084138">
        <w:rPr>
          <w:rFonts w:cs="Times New Roman"/>
        </w:rPr>
        <w:t>6</w:t>
      </w:r>
    </w:p>
    <w:p w14:paraId="29804D35" w14:textId="4BC0E314" w:rsidR="000E2317" w:rsidRPr="007B2920" w:rsidRDefault="00670596" w:rsidP="00FA5A1B">
      <w:pPr>
        <w:pStyle w:val="BodyText2"/>
        <w:widowControl/>
        <w:tabs>
          <w:tab w:val="right" w:leader="dot" w:pos="9270"/>
        </w:tabs>
        <w:jc w:val="left"/>
        <w:rPr>
          <w:rFonts w:cs="Times New Roman"/>
        </w:rPr>
      </w:pPr>
      <w:r w:rsidRPr="007B2920">
        <w:rPr>
          <w:rFonts w:cs="Times New Roman"/>
        </w:rPr>
        <w:t xml:space="preserve">Why Is This Case </w:t>
      </w:r>
      <w:proofErr w:type="gramStart"/>
      <w:r w:rsidRPr="007B2920">
        <w:rPr>
          <w:rFonts w:cs="Times New Roman"/>
        </w:rPr>
        <w:t>A</w:t>
      </w:r>
      <w:proofErr w:type="gramEnd"/>
      <w:r w:rsidRPr="007B2920">
        <w:rPr>
          <w:rFonts w:cs="Times New Roman"/>
        </w:rPr>
        <w:t xml:space="preserve"> Class Action?</w:t>
      </w:r>
      <w:r w:rsidRPr="007B2920">
        <w:rPr>
          <w:rFonts w:cs="Times New Roman"/>
        </w:rPr>
        <w:tab/>
        <w:t xml:space="preserve">Page </w:t>
      </w:r>
      <w:r w:rsidR="00084138">
        <w:rPr>
          <w:rFonts w:cs="Times New Roman"/>
        </w:rPr>
        <w:t>9</w:t>
      </w:r>
    </w:p>
    <w:p w14:paraId="7880622A" w14:textId="4093C9BD" w:rsidR="008B1B77" w:rsidRPr="007B2920" w:rsidRDefault="00670596" w:rsidP="00FA5A1B">
      <w:pPr>
        <w:pStyle w:val="BodyText2"/>
        <w:widowControl/>
        <w:tabs>
          <w:tab w:val="right" w:leader="dot" w:pos="9270"/>
        </w:tabs>
        <w:jc w:val="left"/>
        <w:rPr>
          <w:rFonts w:cs="Times New Roman"/>
        </w:rPr>
      </w:pPr>
      <w:r w:rsidRPr="007B2920">
        <w:rPr>
          <w:rFonts w:cs="Times New Roman"/>
        </w:rPr>
        <w:t xml:space="preserve">How Do I Know If I Am Affected </w:t>
      </w:r>
      <w:proofErr w:type="gramStart"/>
      <w:r w:rsidRPr="007B2920">
        <w:rPr>
          <w:rFonts w:cs="Times New Roman"/>
        </w:rPr>
        <w:t>By</w:t>
      </w:r>
      <w:proofErr w:type="gramEnd"/>
      <w:r w:rsidRPr="007B2920">
        <w:rPr>
          <w:rFonts w:cs="Times New Roman"/>
        </w:rPr>
        <w:t xml:space="preserve"> The Settlement? </w:t>
      </w:r>
      <w:r w:rsidR="00FA5A1B">
        <w:rPr>
          <w:rFonts w:cs="Times New Roman"/>
        </w:rPr>
        <w:br/>
      </w:r>
      <w:r w:rsidRPr="007B2920">
        <w:rPr>
          <w:rFonts w:cs="Times New Roman"/>
        </w:rPr>
        <w:t xml:space="preserve">     Who Is Included </w:t>
      </w:r>
      <w:proofErr w:type="gramStart"/>
      <w:r w:rsidRPr="007B2920">
        <w:rPr>
          <w:rFonts w:cs="Times New Roman"/>
        </w:rPr>
        <w:t>In</w:t>
      </w:r>
      <w:proofErr w:type="gramEnd"/>
      <w:r w:rsidRPr="007B2920">
        <w:rPr>
          <w:rFonts w:cs="Times New Roman"/>
        </w:rPr>
        <w:t xml:space="preserve"> The </w:t>
      </w:r>
      <w:r w:rsidR="00543A7F" w:rsidRPr="007B2920">
        <w:rPr>
          <w:rFonts w:cs="Times New Roman"/>
        </w:rPr>
        <w:t>Class?</w:t>
      </w:r>
      <w:r w:rsidRPr="007B2920">
        <w:rPr>
          <w:rFonts w:cs="Times New Roman"/>
        </w:rPr>
        <w:tab/>
        <w:t xml:space="preserve">Page </w:t>
      </w:r>
      <w:r w:rsidR="00084138">
        <w:rPr>
          <w:rFonts w:cs="Times New Roman"/>
        </w:rPr>
        <w:t>9</w:t>
      </w:r>
    </w:p>
    <w:p w14:paraId="7042ED7A" w14:textId="6EEF7CF5" w:rsidR="008B1B77" w:rsidRPr="007B2920" w:rsidRDefault="00670596" w:rsidP="00FA5A1B">
      <w:pPr>
        <w:pStyle w:val="BodyText2"/>
        <w:widowControl/>
        <w:tabs>
          <w:tab w:val="right" w:leader="dot" w:pos="9270"/>
        </w:tabs>
        <w:jc w:val="left"/>
        <w:rPr>
          <w:rFonts w:cs="Times New Roman"/>
        </w:rPr>
      </w:pPr>
      <w:r w:rsidRPr="007B2920">
        <w:rPr>
          <w:rFonts w:cs="Times New Roman"/>
        </w:rPr>
        <w:t xml:space="preserve">What Are </w:t>
      </w:r>
      <w:r w:rsidR="00243206" w:rsidRPr="007B2920">
        <w:rPr>
          <w:rFonts w:cs="Times New Roman"/>
        </w:rPr>
        <w:t>Class Representatives’</w:t>
      </w:r>
      <w:r w:rsidR="00741D65" w:rsidRPr="007B2920">
        <w:rPr>
          <w:rFonts w:cs="Times New Roman"/>
        </w:rPr>
        <w:t xml:space="preserve"> Reasons </w:t>
      </w:r>
      <w:proofErr w:type="gramStart"/>
      <w:r w:rsidR="00741D65" w:rsidRPr="007B2920">
        <w:rPr>
          <w:rFonts w:cs="Times New Roman"/>
        </w:rPr>
        <w:t>For</w:t>
      </w:r>
      <w:proofErr w:type="gramEnd"/>
      <w:r w:rsidR="00741D65" w:rsidRPr="007B2920">
        <w:rPr>
          <w:rFonts w:cs="Times New Roman"/>
        </w:rPr>
        <w:t xml:space="preserve"> </w:t>
      </w:r>
      <w:r w:rsidRPr="007B2920">
        <w:rPr>
          <w:rFonts w:cs="Times New Roman"/>
        </w:rPr>
        <w:t>The Settlement?</w:t>
      </w:r>
      <w:r w:rsidR="00543A7F" w:rsidRPr="007B2920">
        <w:rPr>
          <w:rFonts w:cs="Times New Roman"/>
        </w:rPr>
        <w:tab/>
      </w:r>
      <w:r w:rsidRPr="007B2920">
        <w:rPr>
          <w:rFonts w:cs="Times New Roman"/>
        </w:rPr>
        <w:t xml:space="preserve">Page </w:t>
      </w:r>
      <w:r w:rsidR="00084138">
        <w:rPr>
          <w:rFonts w:cs="Times New Roman"/>
        </w:rPr>
        <w:t>10</w:t>
      </w:r>
    </w:p>
    <w:p w14:paraId="529D43DA" w14:textId="6E58B3A9" w:rsidR="008B1B77" w:rsidRPr="007B2920" w:rsidRDefault="00670596" w:rsidP="00FA5A1B">
      <w:pPr>
        <w:pStyle w:val="BodyText2"/>
        <w:widowControl/>
        <w:tabs>
          <w:tab w:val="right" w:leader="dot" w:pos="9270"/>
        </w:tabs>
        <w:jc w:val="left"/>
        <w:rPr>
          <w:rFonts w:cs="Times New Roman"/>
        </w:rPr>
      </w:pPr>
      <w:r w:rsidRPr="007B2920">
        <w:rPr>
          <w:rFonts w:cs="Times New Roman"/>
        </w:rPr>
        <w:t>What Might Happen If There Were No Settlement?</w:t>
      </w:r>
      <w:r w:rsidRPr="007B2920">
        <w:rPr>
          <w:rFonts w:cs="Times New Roman"/>
        </w:rPr>
        <w:tab/>
        <w:t xml:space="preserve">Page </w:t>
      </w:r>
      <w:r w:rsidR="00084138">
        <w:rPr>
          <w:rFonts w:cs="Times New Roman"/>
        </w:rPr>
        <w:t>11</w:t>
      </w:r>
    </w:p>
    <w:p w14:paraId="7640D6A3" w14:textId="141B8C66" w:rsidR="008B1B77" w:rsidRPr="007B2920" w:rsidRDefault="00670596" w:rsidP="00FA5A1B">
      <w:pPr>
        <w:pStyle w:val="BodyText2"/>
        <w:widowControl/>
        <w:tabs>
          <w:tab w:val="right" w:leader="dot" w:pos="9270"/>
        </w:tabs>
        <w:jc w:val="left"/>
        <w:rPr>
          <w:rFonts w:cs="Times New Roman"/>
        </w:rPr>
      </w:pPr>
      <w:r w:rsidRPr="007B2920">
        <w:rPr>
          <w:rFonts w:cs="Times New Roman"/>
        </w:rPr>
        <w:t xml:space="preserve">How Are Class Members Affected </w:t>
      </w:r>
      <w:proofErr w:type="gramStart"/>
      <w:r w:rsidRPr="007B2920">
        <w:rPr>
          <w:rFonts w:cs="Times New Roman"/>
        </w:rPr>
        <w:t>By</w:t>
      </w:r>
      <w:proofErr w:type="gramEnd"/>
      <w:r w:rsidRPr="007B2920">
        <w:rPr>
          <w:rFonts w:cs="Times New Roman"/>
        </w:rPr>
        <w:t xml:space="preserve"> The Action</w:t>
      </w:r>
      <w:r w:rsidR="00243206" w:rsidRPr="007B2920">
        <w:rPr>
          <w:rFonts w:cs="Times New Roman"/>
        </w:rPr>
        <w:t xml:space="preserve"> And The Settlement?</w:t>
      </w:r>
      <w:r w:rsidR="00243206" w:rsidRPr="007B2920">
        <w:rPr>
          <w:rFonts w:cs="Times New Roman"/>
        </w:rPr>
        <w:tab/>
      </w:r>
      <w:r w:rsidRPr="007B2920">
        <w:rPr>
          <w:rFonts w:cs="Times New Roman"/>
        </w:rPr>
        <w:t xml:space="preserve">Page </w:t>
      </w:r>
      <w:r w:rsidR="00084138">
        <w:rPr>
          <w:rFonts w:cs="Times New Roman"/>
        </w:rPr>
        <w:t>11</w:t>
      </w:r>
    </w:p>
    <w:p w14:paraId="30772041" w14:textId="5C732F4A" w:rsidR="008B1B77" w:rsidRPr="007B2920" w:rsidRDefault="00670596" w:rsidP="00FA5A1B">
      <w:pPr>
        <w:pStyle w:val="BodyText2"/>
        <w:widowControl/>
        <w:tabs>
          <w:tab w:val="right" w:leader="dot" w:pos="9270"/>
        </w:tabs>
        <w:jc w:val="left"/>
        <w:rPr>
          <w:rFonts w:cs="Times New Roman"/>
        </w:rPr>
      </w:pPr>
      <w:r w:rsidRPr="007B2920">
        <w:rPr>
          <w:rFonts w:cs="Times New Roman"/>
        </w:rPr>
        <w:t xml:space="preserve">How Do I </w:t>
      </w:r>
      <w:r w:rsidR="00741D65" w:rsidRPr="007B2920">
        <w:rPr>
          <w:rFonts w:cs="Times New Roman"/>
        </w:rPr>
        <w:t xml:space="preserve">Participate </w:t>
      </w:r>
      <w:proofErr w:type="gramStart"/>
      <w:r w:rsidR="00741D65" w:rsidRPr="007B2920">
        <w:rPr>
          <w:rFonts w:cs="Times New Roman"/>
        </w:rPr>
        <w:t>In</w:t>
      </w:r>
      <w:proofErr w:type="gramEnd"/>
      <w:r w:rsidR="00741D65" w:rsidRPr="007B2920">
        <w:rPr>
          <w:rFonts w:cs="Times New Roman"/>
        </w:rPr>
        <w:t xml:space="preserve"> The Settlement? </w:t>
      </w:r>
      <w:r w:rsidRPr="007B2920">
        <w:rPr>
          <w:rFonts w:cs="Times New Roman"/>
        </w:rPr>
        <w:t xml:space="preserve">What Do I Need </w:t>
      </w:r>
      <w:proofErr w:type="gramStart"/>
      <w:r w:rsidRPr="007B2920">
        <w:rPr>
          <w:rFonts w:cs="Times New Roman"/>
        </w:rPr>
        <w:t>To</w:t>
      </w:r>
      <w:proofErr w:type="gramEnd"/>
      <w:r w:rsidRPr="007B2920">
        <w:rPr>
          <w:rFonts w:cs="Times New Roman"/>
        </w:rPr>
        <w:t xml:space="preserve"> Do?</w:t>
      </w:r>
      <w:r w:rsidRPr="007B2920">
        <w:rPr>
          <w:rFonts w:cs="Times New Roman"/>
        </w:rPr>
        <w:tab/>
        <w:t xml:space="preserve">Page </w:t>
      </w:r>
      <w:r w:rsidR="00084138">
        <w:rPr>
          <w:rFonts w:cs="Times New Roman"/>
        </w:rPr>
        <w:t>13</w:t>
      </w:r>
    </w:p>
    <w:p w14:paraId="651D2CF6" w14:textId="1F714ADC" w:rsidR="008B1B77" w:rsidRPr="007B2920" w:rsidRDefault="00670596" w:rsidP="00FA5A1B">
      <w:pPr>
        <w:pStyle w:val="BodyText2"/>
        <w:widowControl/>
        <w:tabs>
          <w:tab w:val="right" w:leader="dot" w:pos="9270"/>
        </w:tabs>
        <w:jc w:val="left"/>
        <w:rPr>
          <w:rFonts w:cs="Times New Roman"/>
        </w:rPr>
      </w:pPr>
      <w:r w:rsidRPr="007B2920">
        <w:rPr>
          <w:rFonts w:cs="Times New Roman"/>
        </w:rPr>
        <w:t>How Much Will My Payment Be?</w:t>
      </w:r>
      <w:r w:rsidRPr="007B2920">
        <w:rPr>
          <w:rFonts w:cs="Times New Roman"/>
        </w:rPr>
        <w:tab/>
        <w:t xml:space="preserve">Page </w:t>
      </w:r>
      <w:r w:rsidR="00084138">
        <w:rPr>
          <w:rFonts w:cs="Times New Roman"/>
        </w:rPr>
        <w:t>13</w:t>
      </w:r>
    </w:p>
    <w:p w14:paraId="20BFD243" w14:textId="174D0300" w:rsidR="008B1B77" w:rsidRPr="007B2920" w:rsidRDefault="00670596" w:rsidP="00FA5A1B">
      <w:pPr>
        <w:pStyle w:val="BodyText2"/>
        <w:widowControl/>
        <w:tabs>
          <w:tab w:val="right" w:leader="dot" w:pos="9270"/>
        </w:tabs>
        <w:jc w:val="left"/>
        <w:rPr>
          <w:rFonts w:cs="Times New Roman"/>
        </w:rPr>
      </w:pPr>
      <w:r w:rsidRPr="007B2920">
        <w:rPr>
          <w:rFonts w:cs="Times New Roman"/>
        </w:rPr>
        <w:t xml:space="preserve">What Payment Are </w:t>
      </w:r>
      <w:proofErr w:type="gramStart"/>
      <w:r w:rsidRPr="007B2920">
        <w:rPr>
          <w:rFonts w:cs="Times New Roman"/>
        </w:rPr>
        <w:t>The</w:t>
      </w:r>
      <w:proofErr w:type="gramEnd"/>
      <w:r w:rsidRPr="007B2920">
        <w:rPr>
          <w:rFonts w:cs="Times New Roman"/>
        </w:rPr>
        <w:t xml:space="preserve"> Attorneys For The Class Seeking?</w:t>
      </w:r>
      <w:r w:rsidR="00FA5A1B">
        <w:rPr>
          <w:rFonts w:cs="Times New Roman"/>
        </w:rPr>
        <w:br/>
      </w:r>
      <w:r w:rsidRPr="007B2920">
        <w:rPr>
          <w:rFonts w:cs="Times New Roman"/>
        </w:rPr>
        <w:t xml:space="preserve">     How Will The Lawyers Be Paid?</w:t>
      </w:r>
      <w:r w:rsidRPr="007B2920">
        <w:rPr>
          <w:rFonts w:cs="Times New Roman"/>
        </w:rPr>
        <w:tab/>
        <w:t xml:space="preserve">Page </w:t>
      </w:r>
      <w:r w:rsidR="00084138">
        <w:rPr>
          <w:rFonts w:cs="Times New Roman"/>
        </w:rPr>
        <w:t>15</w:t>
      </w:r>
    </w:p>
    <w:p w14:paraId="7BE25D52" w14:textId="6882BE52" w:rsidR="002947F2" w:rsidRPr="007B2920" w:rsidRDefault="00670596" w:rsidP="00FA5A1B">
      <w:pPr>
        <w:pStyle w:val="BodyText2"/>
        <w:widowControl/>
        <w:tabs>
          <w:tab w:val="right" w:leader="dot" w:pos="9270"/>
        </w:tabs>
        <w:jc w:val="left"/>
        <w:rPr>
          <w:rFonts w:cs="Times New Roman"/>
        </w:rPr>
      </w:pPr>
      <w:r w:rsidRPr="007B2920">
        <w:rPr>
          <w:rFonts w:cs="Times New Roman"/>
        </w:rPr>
        <w:t xml:space="preserve">What If I Previously Requested Exclusion </w:t>
      </w:r>
      <w:r w:rsidR="006A4E80" w:rsidRPr="007B2920">
        <w:rPr>
          <w:rFonts w:cs="Times New Roman"/>
        </w:rPr>
        <w:t xml:space="preserve">from the Class </w:t>
      </w:r>
      <w:proofErr w:type="gramStart"/>
      <w:r w:rsidR="006A4E80" w:rsidRPr="007B2920">
        <w:rPr>
          <w:rFonts w:cs="Times New Roman"/>
        </w:rPr>
        <w:t>And</w:t>
      </w:r>
      <w:proofErr w:type="gramEnd"/>
      <w:r w:rsidR="006A4E80" w:rsidRPr="007B2920">
        <w:rPr>
          <w:rFonts w:cs="Times New Roman"/>
        </w:rPr>
        <w:t xml:space="preserve"> Now Want</w:t>
      </w:r>
      <w:r w:rsidR="00FA5A1B">
        <w:rPr>
          <w:rFonts w:cs="Times New Roman"/>
        </w:rPr>
        <w:br/>
      </w:r>
      <w:r w:rsidRPr="007B2920">
        <w:rPr>
          <w:rFonts w:cs="Times New Roman"/>
        </w:rPr>
        <w:t xml:space="preserve">     To Be Eligible To Receive A Payment From The Settlement?  </w:t>
      </w:r>
      <w:r w:rsidR="00FA5A1B">
        <w:rPr>
          <w:rFonts w:cs="Times New Roman"/>
        </w:rPr>
        <w:br/>
      </w:r>
      <w:r w:rsidRPr="007B2920">
        <w:rPr>
          <w:rFonts w:cs="Times New Roman"/>
        </w:rPr>
        <w:t xml:space="preserve">     How Do I </w:t>
      </w:r>
      <w:proofErr w:type="spellStart"/>
      <w:r w:rsidRPr="007B2920">
        <w:rPr>
          <w:rFonts w:cs="Times New Roman"/>
        </w:rPr>
        <w:t>Opt</w:t>
      </w:r>
      <w:proofErr w:type="spellEnd"/>
      <w:r w:rsidRPr="007B2920">
        <w:rPr>
          <w:rFonts w:cs="Times New Roman"/>
        </w:rPr>
        <w:t xml:space="preserve"> Back </w:t>
      </w:r>
      <w:proofErr w:type="gramStart"/>
      <w:r w:rsidRPr="007B2920">
        <w:rPr>
          <w:rFonts w:cs="Times New Roman"/>
        </w:rPr>
        <w:t>Into</w:t>
      </w:r>
      <w:proofErr w:type="gramEnd"/>
      <w:r w:rsidRPr="007B2920">
        <w:rPr>
          <w:rFonts w:cs="Times New Roman"/>
        </w:rPr>
        <w:t xml:space="preserve"> The Class?</w:t>
      </w:r>
      <w:r w:rsidR="002C1853">
        <w:rPr>
          <w:rFonts w:cs="Times New Roman"/>
        </w:rPr>
        <w:tab/>
      </w:r>
      <w:r w:rsidRPr="007B2920">
        <w:rPr>
          <w:rFonts w:cs="Times New Roman"/>
        </w:rPr>
        <w:t xml:space="preserve">   </w:t>
      </w:r>
      <w:r w:rsidR="00E404F6" w:rsidRPr="007B2920">
        <w:t xml:space="preserve">Page </w:t>
      </w:r>
      <w:r w:rsidR="00084138">
        <w:t>15</w:t>
      </w:r>
    </w:p>
    <w:p w14:paraId="7B0CE491" w14:textId="539AFE79" w:rsidR="008B1B77" w:rsidRPr="007B2920" w:rsidRDefault="00670596" w:rsidP="00FA5A1B">
      <w:pPr>
        <w:pStyle w:val="BodyText2"/>
        <w:keepNext/>
        <w:keepLines/>
        <w:widowControl/>
        <w:tabs>
          <w:tab w:val="right" w:leader="dot" w:pos="9270"/>
        </w:tabs>
        <w:jc w:val="left"/>
        <w:rPr>
          <w:rFonts w:cs="Times New Roman"/>
        </w:rPr>
      </w:pPr>
      <w:r w:rsidRPr="007B2920">
        <w:rPr>
          <w:rFonts w:cs="Times New Roman"/>
        </w:rPr>
        <w:t xml:space="preserve">When And Where Will </w:t>
      </w:r>
      <w:proofErr w:type="gramStart"/>
      <w:r w:rsidRPr="007B2920">
        <w:rPr>
          <w:rFonts w:cs="Times New Roman"/>
        </w:rPr>
        <w:t>The</w:t>
      </w:r>
      <w:proofErr w:type="gramEnd"/>
      <w:r w:rsidRPr="007B2920">
        <w:rPr>
          <w:rFonts w:cs="Times New Roman"/>
        </w:rPr>
        <w:t xml:space="preserve"> Court Decide Whether To Approve The </w:t>
      </w:r>
      <w:r w:rsidR="00FA5A1B">
        <w:rPr>
          <w:rFonts w:cs="Times New Roman"/>
        </w:rPr>
        <w:br/>
      </w:r>
      <w:r w:rsidRPr="007B2920">
        <w:rPr>
          <w:rFonts w:cs="Times New Roman"/>
        </w:rPr>
        <w:t xml:space="preserve">     Settlement? </w:t>
      </w:r>
      <w:r w:rsidR="00EC7D76" w:rsidRPr="007B2920">
        <w:rPr>
          <w:rFonts w:cs="Times New Roman"/>
        </w:rPr>
        <w:t xml:space="preserve">Do </w:t>
      </w:r>
      <w:r w:rsidRPr="007B2920">
        <w:rPr>
          <w:rFonts w:cs="Times New Roman"/>
        </w:rPr>
        <w:t xml:space="preserve">I Have </w:t>
      </w:r>
      <w:proofErr w:type="gramStart"/>
      <w:r w:rsidRPr="007B2920">
        <w:rPr>
          <w:rFonts w:cs="Times New Roman"/>
        </w:rPr>
        <w:t>To</w:t>
      </w:r>
      <w:proofErr w:type="gramEnd"/>
      <w:r w:rsidRPr="007B2920">
        <w:rPr>
          <w:rFonts w:cs="Times New Roman"/>
        </w:rPr>
        <w:t xml:space="preserve"> Come To The Hearing? </w:t>
      </w:r>
      <w:r w:rsidR="00EC7D76" w:rsidRPr="007B2920">
        <w:rPr>
          <w:rFonts w:cs="Times New Roman"/>
        </w:rPr>
        <w:t xml:space="preserve">May I Speak </w:t>
      </w:r>
      <w:r w:rsidR="00FA5A1B">
        <w:rPr>
          <w:rFonts w:cs="Times New Roman"/>
        </w:rPr>
        <w:br/>
      </w:r>
      <w:r w:rsidRPr="007B2920">
        <w:rPr>
          <w:rFonts w:cs="Times New Roman"/>
        </w:rPr>
        <w:t xml:space="preserve">     At </w:t>
      </w:r>
      <w:proofErr w:type="gramStart"/>
      <w:r w:rsidRPr="007B2920">
        <w:rPr>
          <w:rFonts w:cs="Times New Roman"/>
        </w:rPr>
        <w:t>The</w:t>
      </w:r>
      <w:proofErr w:type="gramEnd"/>
      <w:r w:rsidRPr="007B2920">
        <w:rPr>
          <w:rFonts w:cs="Times New Roman"/>
        </w:rPr>
        <w:t xml:space="preserve"> Hearing If I Don’t Like The Settlement?</w:t>
      </w:r>
      <w:r w:rsidRPr="007B2920">
        <w:rPr>
          <w:rFonts w:cs="Times New Roman"/>
        </w:rPr>
        <w:tab/>
        <w:t xml:space="preserve">Page </w:t>
      </w:r>
      <w:r w:rsidR="00084138">
        <w:rPr>
          <w:rFonts w:cs="Times New Roman"/>
        </w:rPr>
        <w:t>16</w:t>
      </w:r>
    </w:p>
    <w:p w14:paraId="59265EBA" w14:textId="28E82944" w:rsidR="008B1B77" w:rsidRPr="007B2920" w:rsidRDefault="00670596" w:rsidP="00FA5A1B">
      <w:pPr>
        <w:pStyle w:val="BodyText2"/>
        <w:widowControl/>
        <w:tabs>
          <w:tab w:val="right" w:leader="dot" w:pos="9270"/>
        </w:tabs>
        <w:jc w:val="left"/>
        <w:rPr>
          <w:rFonts w:cs="Times New Roman"/>
        </w:rPr>
      </w:pPr>
      <w:r w:rsidRPr="007B2920">
        <w:rPr>
          <w:rFonts w:cs="Times New Roman"/>
        </w:rPr>
        <w:t xml:space="preserve">What If I Bought </w:t>
      </w:r>
      <w:r w:rsidR="00386180" w:rsidRPr="007B2920">
        <w:rPr>
          <w:rFonts w:cs="Times New Roman"/>
        </w:rPr>
        <w:t>GE Common Stock</w:t>
      </w:r>
      <w:r w:rsidRPr="007B2920">
        <w:rPr>
          <w:rFonts w:cs="Times New Roman"/>
        </w:rPr>
        <w:t xml:space="preserve"> On </w:t>
      </w:r>
      <w:r w:rsidR="002947F2" w:rsidRPr="007B2920">
        <w:rPr>
          <w:rFonts w:cs="Times New Roman"/>
        </w:rPr>
        <w:t>Someone Else’s Behalf?</w:t>
      </w:r>
      <w:r w:rsidR="002947F2" w:rsidRPr="007B2920">
        <w:rPr>
          <w:rFonts w:cs="Times New Roman"/>
        </w:rPr>
        <w:tab/>
      </w:r>
      <w:r w:rsidRPr="007B2920">
        <w:rPr>
          <w:rFonts w:cs="Times New Roman"/>
        </w:rPr>
        <w:t xml:space="preserve">Page </w:t>
      </w:r>
      <w:r w:rsidR="00084138">
        <w:rPr>
          <w:rFonts w:cs="Times New Roman"/>
        </w:rPr>
        <w:t>18</w:t>
      </w:r>
    </w:p>
    <w:p w14:paraId="7A4520E8" w14:textId="09D59875" w:rsidR="008B1B77" w:rsidRPr="007B2920" w:rsidRDefault="00670596" w:rsidP="00FA5A1B">
      <w:pPr>
        <w:pStyle w:val="BodyText2"/>
        <w:widowControl/>
        <w:tabs>
          <w:tab w:val="right" w:leader="dot" w:pos="9270"/>
        </w:tabs>
        <w:jc w:val="left"/>
        <w:rPr>
          <w:rFonts w:cs="Times New Roman"/>
        </w:rPr>
      </w:pPr>
      <w:r w:rsidRPr="007B2920">
        <w:rPr>
          <w:rFonts w:cs="Times New Roman"/>
        </w:rPr>
        <w:t xml:space="preserve">Can I See </w:t>
      </w:r>
      <w:proofErr w:type="gramStart"/>
      <w:r w:rsidRPr="007B2920">
        <w:rPr>
          <w:rFonts w:cs="Times New Roman"/>
        </w:rPr>
        <w:t>The</w:t>
      </w:r>
      <w:proofErr w:type="gramEnd"/>
      <w:r w:rsidRPr="007B2920">
        <w:rPr>
          <w:rFonts w:cs="Times New Roman"/>
        </w:rPr>
        <w:t xml:space="preserve"> Court File?</w:t>
      </w:r>
      <w:r w:rsidR="00EC7D76" w:rsidRPr="007B2920">
        <w:rPr>
          <w:rFonts w:cs="Times New Roman"/>
        </w:rPr>
        <w:t xml:space="preserve"> Whom Should I Contact If I Have </w:t>
      </w:r>
      <w:r w:rsidR="00FA5A1B">
        <w:rPr>
          <w:rFonts w:cs="Times New Roman"/>
        </w:rPr>
        <w:br/>
      </w:r>
      <w:r w:rsidRPr="007B2920">
        <w:rPr>
          <w:rFonts w:cs="Times New Roman"/>
        </w:rPr>
        <w:t xml:space="preserve">     Questions?</w:t>
      </w:r>
      <w:r w:rsidRPr="007B2920">
        <w:rPr>
          <w:rFonts w:cs="Times New Roman"/>
        </w:rPr>
        <w:tab/>
        <w:t xml:space="preserve">Page </w:t>
      </w:r>
      <w:r w:rsidR="00084138">
        <w:rPr>
          <w:rFonts w:cs="Times New Roman"/>
        </w:rPr>
        <w:t>19</w:t>
      </w:r>
    </w:p>
    <w:p w14:paraId="7A2D2997" w14:textId="5109FA25" w:rsidR="008B1B77" w:rsidRPr="007B2920" w:rsidRDefault="00670596" w:rsidP="00FA5A1B">
      <w:pPr>
        <w:pStyle w:val="BodyText2"/>
        <w:widowControl/>
        <w:tabs>
          <w:tab w:val="right" w:leader="dot" w:pos="9270"/>
        </w:tabs>
        <w:jc w:val="left"/>
        <w:rPr>
          <w:rFonts w:cs="Times New Roman"/>
        </w:rPr>
      </w:pPr>
      <w:r w:rsidRPr="007B2920">
        <w:rPr>
          <w:rFonts w:cs="Times New Roman"/>
        </w:rPr>
        <w:t xml:space="preserve">Proposed Plan of Allocation of Net Settlement Fund Among </w:t>
      </w:r>
      <w:r w:rsidR="00FA5A1B">
        <w:rPr>
          <w:rFonts w:cs="Times New Roman"/>
        </w:rPr>
        <w:br/>
      </w:r>
      <w:r w:rsidRPr="007B2920">
        <w:rPr>
          <w:rFonts w:cs="Times New Roman"/>
        </w:rPr>
        <w:t xml:space="preserve">     Authorized Claimants</w:t>
      </w:r>
      <w:r w:rsidRPr="007B2920">
        <w:rPr>
          <w:rFonts w:cs="Times New Roman"/>
        </w:rPr>
        <w:tab/>
        <w:t>Appendix A</w:t>
      </w:r>
    </w:p>
    <w:p w14:paraId="435CE5AF" w14:textId="77777777" w:rsidR="00B214F8" w:rsidRPr="007B2920" w:rsidRDefault="00B214F8" w:rsidP="007B2920">
      <w:pPr>
        <w:pStyle w:val="BodyText2"/>
        <w:widowControl/>
        <w:spacing w:after="0"/>
        <w:jc w:val="left"/>
        <w:rPr>
          <w:rFonts w:cs="Times New Roman"/>
        </w:rPr>
      </w:pPr>
    </w:p>
    <w:tbl>
      <w:tblPr>
        <w:tblW w:w="9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489"/>
      </w:tblGrid>
      <w:tr w:rsidR="00C208DC" w:rsidRPr="007B2920" w14:paraId="33253C3D" w14:textId="77777777">
        <w:trPr>
          <w:trHeight w:val="377"/>
          <w:jc w:val="center"/>
        </w:trPr>
        <w:tc>
          <w:tcPr>
            <w:tcW w:w="9489" w:type="dxa"/>
            <w:shd w:val="clear" w:color="auto" w:fill="E0E0E0"/>
          </w:tcPr>
          <w:p w14:paraId="18D80ADB" w14:textId="77777777" w:rsidR="008B1B77" w:rsidRPr="007B2920" w:rsidRDefault="00670596" w:rsidP="00865662">
            <w:pPr>
              <w:keepNext/>
              <w:tabs>
                <w:tab w:val="left" w:pos="-180"/>
              </w:tabs>
              <w:spacing w:before="60" w:after="60"/>
              <w:jc w:val="center"/>
              <w:rPr>
                <w:b/>
              </w:rPr>
            </w:pPr>
            <w:r w:rsidRPr="007B2920">
              <w:rPr>
                <w:b/>
              </w:rPr>
              <w:t>WHAT IS THE PURPOSE OF THIS NOTICE?</w:t>
            </w:r>
          </w:p>
        </w:tc>
      </w:tr>
    </w:tbl>
    <w:p w14:paraId="28B6FC2B" w14:textId="4982CFAE" w:rsidR="007E25CF" w:rsidRPr="007B2920" w:rsidRDefault="00670596" w:rsidP="00865662">
      <w:pPr>
        <w:pStyle w:val="Heading1"/>
        <w:tabs>
          <w:tab w:val="clear" w:pos="2160"/>
        </w:tabs>
        <w:spacing w:before="120" w:after="120"/>
        <w:ind w:left="0"/>
      </w:pPr>
      <w:r w:rsidRPr="007B2920">
        <w:t>The Court has directed the issuance of this Notice to inform potential Class Members about the Action and the proposed Settlement and their options in connection therewith before the Court rules on the Settlement. Additionally, Class Members have the right to understand how this class action lawsuit may generally affect their legal rights.</w:t>
      </w:r>
    </w:p>
    <w:p w14:paraId="0EF4D405" w14:textId="7E243F25" w:rsidR="007E25CF" w:rsidRPr="007B2920" w:rsidRDefault="00670596" w:rsidP="007B2920">
      <w:pPr>
        <w:pStyle w:val="Heading1"/>
        <w:tabs>
          <w:tab w:val="clear" w:pos="2160"/>
        </w:tabs>
        <w:spacing w:after="120"/>
        <w:ind w:left="0"/>
      </w:pPr>
      <w:r w:rsidRPr="007B2920">
        <w:t xml:space="preserve">This Notice explains the Action, the Settlement, Class Members’ legal rights, what benefits are available under the Settlement, who is eligible for the benefits, and how to get them. </w:t>
      </w:r>
    </w:p>
    <w:p w14:paraId="23926F08" w14:textId="3F674DBF" w:rsidR="00B214F8" w:rsidRPr="003751CA" w:rsidRDefault="00670596" w:rsidP="00292F31">
      <w:pPr>
        <w:pStyle w:val="Heading1"/>
        <w:tabs>
          <w:tab w:val="clear" w:pos="2160"/>
        </w:tabs>
        <w:ind w:left="0"/>
      </w:pPr>
      <w:r w:rsidRPr="007B2920">
        <w:t>The issuance of this Notice is not an expression of any opinion by the Court concerning the merits of any claim in the Action, and the Court still has to decide whether to approve the Settlement. If the Court approves the Settlement and the Plan of Allocation (or some other plan of allocation), the Claims Administrator will make payments to eligible Class Members pursuant to the Settlement after any objections and appeals are resolved.</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495"/>
      </w:tblGrid>
      <w:tr w:rsidR="00C208DC" w:rsidRPr="007B2920" w14:paraId="4F8DC6C3" w14:textId="77777777">
        <w:trPr>
          <w:jc w:val="center"/>
        </w:trPr>
        <w:tc>
          <w:tcPr>
            <w:tcW w:w="9495" w:type="dxa"/>
            <w:shd w:val="clear" w:color="auto" w:fill="E0E0E0"/>
          </w:tcPr>
          <w:p w14:paraId="092AF1E0" w14:textId="77777777" w:rsidR="008B1B77" w:rsidRPr="007B2920" w:rsidRDefault="00670596" w:rsidP="00865662">
            <w:pPr>
              <w:keepNext/>
              <w:tabs>
                <w:tab w:val="left" w:pos="-180"/>
              </w:tabs>
              <w:spacing w:before="60" w:after="60"/>
              <w:jc w:val="center"/>
              <w:rPr>
                <w:b/>
              </w:rPr>
            </w:pPr>
            <w:r w:rsidRPr="007B2920">
              <w:rPr>
                <w:b/>
              </w:rPr>
              <w:lastRenderedPageBreak/>
              <w:t xml:space="preserve">WHAT IS THIS CASE ABOUT?  </w:t>
            </w:r>
          </w:p>
        </w:tc>
      </w:tr>
    </w:tbl>
    <w:p w14:paraId="25D80108" w14:textId="1F219E7A" w:rsidR="00082350" w:rsidRPr="007B2920" w:rsidRDefault="00670596" w:rsidP="00FA5A1B">
      <w:pPr>
        <w:pStyle w:val="Heading1"/>
        <w:tabs>
          <w:tab w:val="clear" w:pos="2160"/>
        </w:tabs>
        <w:spacing w:before="120" w:after="120"/>
        <w:ind w:left="0"/>
        <w:rPr>
          <w:color w:val="000000"/>
        </w:rPr>
      </w:pPr>
      <w:r w:rsidRPr="007B2920">
        <w:rPr>
          <w:color w:val="000000"/>
        </w:rPr>
        <w:t xml:space="preserve">This is a securities class action against Defendants for alleged violations of the federal securities laws. </w:t>
      </w:r>
      <w:r w:rsidR="00821A2E" w:rsidRPr="007B2920">
        <w:t xml:space="preserve">Plaintiffs </w:t>
      </w:r>
      <w:r w:rsidR="00821A2E" w:rsidRPr="007B2920">
        <w:rPr>
          <w:lang w:val="en-US"/>
        </w:rPr>
        <w:t xml:space="preserve">generally </w:t>
      </w:r>
      <w:r w:rsidR="00821A2E" w:rsidRPr="007B2920">
        <w:t xml:space="preserve">alleged that Defendants’ public disclosures </w:t>
      </w:r>
      <w:r w:rsidR="00821A2E" w:rsidRPr="007B2920">
        <w:rPr>
          <w:lang w:val="en-US"/>
        </w:rPr>
        <w:t xml:space="preserve">during the Class Period </w:t>
      </w:r>
      <w:r w:rsidR="00821A2E" w:rsidRPr="007B2920">
        <w:t xml:space="preserve">concealed material facts concerning, among other things, GE’s reliance on intercompany factoring transactions to offset weaknesses in GE Power’s cash flows from operations during the relevant time period. Plaintiffs further alleged that the price of GE common stock was artificially inflated as a result of Defendants’ allegedly false and misleading statements, and declined when the </w:t>
      </w:r>
      <w:r w:rsidR="00821A2E" w:rsidRPr="007B2920">
        <w:rPr>
          <w:lang w:val="en-US"/>
        </w:rPr>
        <w:t>truth was revealed through a series of partial corrective disclosures.</w:t>
      </w:r>
      <w:r w:rsidR="00821A2E" w:rsidRPr="007B2920">
        <w:rPr>
          <w:color w:val="000000"/>
          <w:lang w:val="en-US"/>
        </w:rPr>
        <w:t xml:space="preserve"> </w:t>
      </w:r>
      <w:r w:rsidR="004B08F8" w:rsidRPr="007B2920">
        <w:t>Defendants deny all of the allegation</w:t>
      </w:r>
      <w:r w:rsidR="004B08F8" w:rsidRPr="007B2920">
        <w:rPr>
          <w:lang w:val="en-US"/>
        </w:rPr>
        <w:t xml:space="preserve">s </w:t>
      </w:r>
      <w:r w:rsidRPr="007B2920">
        <w:rPr>
          <w:color w:val="000000"/>
        </w:rPr>
        <w:t>of wrongdoing asserted in the Action and deny any liability whatsoever to any member of the Class.</w:t>
      </w:r>
    </w:p>
    <w:p w14:paraId="2C369114" w14:textId="5407D2B9" w:rsidR="00821A2E" w:rsidRPr="00865662" w:rsidRDefault="00670596" w:rsidP="00FA5A1B">
      <w:pPr>
        <w:pStyle w:val="Heading1"/>
        <w:tabs>
          <w:tab w:val="clear" w:pos="2160"/>
        </w:tabs>
        <w:spacing w:before="120" w:after="120"/>
        <w:ind w:left="0"/>
        <w:rPr>
          <w:spacing w:val="-4"/>
          <w:lang w:val="en-US"/>
        </w:rPr>
      </w:pPr>
      <w:r w:rsidRPr="00865662">
        <w:rPr>
          <w:spacing w:val="-4"/>
          <w:lang w:val="en-US"/>
        </w:rPr>
        <w:t xml:space="preserve">The </w:t>
      </w:r>
      <w:r w:rsidR="004B08F8" w:rsidRPr="00865662">
        <w:rPr>
          <w:spacing w:val="-4"/>
          <w:lang w:val="en-US"/>
        </w:rPr>
        <w:t xml:space="preserve">Action commenced </w:t>
      </w:r>
      <w:r w:rsidRPr="00865662">
        <w:rPr>
          <w:spacing w:val="-4"/>
        </w:rPr>
        <w:t xml:space="preserve">on </w:t>
      </w:r>
      <w:r w:rsidRPr="00865662">
        <w:rPr>
          <w:spacing w:val="-4"/>
          <w:lang w:val="en-US"/>
        </w:rPr>
        <w:t>November 1, 2017</w:t>
      </w:r>
      <w:r w:rsidRPr="00865662">
        <w:rPr>
          <w:spacing w:val="-4"/>
        </w:rPr>
        <w:t xml:space="preserve">, </w:t>
      </w:r>
      <w:r w:rsidR="0052651C" w:rsidRPr="00865662">
        <w:rPr>
          <w:spacing w:val="-4"/>
          <w:lang w:val="en-US"/>
        </w:rPr>
        <w:t xml:space="preserve">with the filing of the initial complaint in </w:t>
      </w:r>
      <w:r w:rsidRPr="00865662">
        <w:rPr>
          <w:spacing w:val="-4"/>
          <w:lang w:val="en-US"/>
        </w:rPr>
        <w:t xml:space="preserve">the </w:t>
      </w:r>
      <w:r w:rsidRPr="00865662">
        <w:rPr>
          <w:spacing w:val="-4"/>
        </w:rPr>
        <w:t>Court</w:t>
      </w:r>
      <w:r w:rsidR="0052651C" w:rsidRPr="00865662">
        <w:rPr>
          <w:spacing w:val="-4"/>
        </w:rPr>
        <w:t>, asserting</w:t>
      </w:r>
      <w:r w:rsidR="0052651C" w:rsidRPr="00865662">
        <w:rPr>
          <w:spacing w:val="-4"/>
          <w:lang w:val="en-US"/>
        </w:rPr>
        <w:t xml:space="preserve"> </w:t>
      </w:r>
      <w:r w:rsidR="0052651C" w:rsidRPr="00865662">
        <w:rPr>
          <w:spacing w:val="-4"/>
        </w:rPr>
        <w:t xml:space="preserve">violations of </w:t>
      </w:r>
      <w:r w:rsidRPr="00865662">
        <w:rPr>
          <w:spacing w:val="-4"/>
          <w:lang w:val="en-US"/>
        </w:rPr>
        <w:t>the federal securities laws against GE and certain of its executives.</w:t>
      </w:r>
      <w:bookmarkStart w:id="3" w:name="_Hlk129703141"/>
      <w:r w:rsidRPr="00865662">
        <w:rPr>
          <w:spacing w:val="-4"/>
          <w:lang w:val="en-US"/>
        </w:rPr>
        <w:t xml:space="preserve"> </w:t>
      </w:r>
      <w:bookmarkEnd w:id="3"/>
    </w:p>
    <w:p w14:paraId="68AD5094" w14:textId="0F78970E" w:rsidR="00821A2E" w:rsidRPr="007B2920" w:rsidRDefault="00670596" w:rsidP="00FA5A1B">
      <w:pPr>
        <w:pStyle w:val="Heading1"/>
        <w:tabs>
          <w:tab w:val="clear" w:pos="2160"/>
        </w:tabs>
        <w:spacing w:before="120" w:after="120"/>
        <w:ind w:left="0"/>
      </w:pPr>
      <w:r w:rsidRPr="007B2920">
        <w:rPr>
          <w:lang w:val="en-US"/>
        </w:rPr>
        <w:t xml:space="preserve">Thereafter, </w:t>
      </w:r>
      <w:proofErr w:type="spellStart"/>
      <w:r w:rsidRPr="007B2920">
        <w:rPr>
          <w:lang w:val="en-US"/>
        </w:rPr>
        <w:t>i</w:t>
      </w:r>
      <w:proofErr w:type="spellEnd"/>
      <w:r w:rsidRPr="007B2920">
        <w:t>n accordance with the P</w:t>
      </w:r>
      <w:r w:rsidR="00C27419" w:rsidRPr="007B2920">
        <w:rPr>
          <w:lang w:val="en-US"/>
        </w:rPr>
        <w:t xml:space="preserve">rivate </w:t>
      </w:r>
      <w:r w:rsidRPr="007B2920">
        <w:t>S</w:t>
      </w:r>
      <w:r w:rsidR="00C27419" w:rsidRPr="007B2920">
        <w:rPr>
          <w:lang w:val="en-US"/>
        </w:rPr>
        <w:t xml:space="preserve">ecurities </w:t>
      </w:r>
      <w:r w:rsidRPr="007B2920">
        <w:t>L</w:t>
      </w:r>
      <w:r w:rsidR="00C27419" w:rsidRPr="007B2920">
        <w:rPr>
          <w:lang w:val="en-US"/>
        </w:rPr>
        <w:t xml:space="preserve">itigation </w:t>
      </w:r>
      <w:r w:rsidRPr="007B2920">
        <w:t>R</w:t>
      </w:r>
      <w:r w:rsidR="00C27419" w:rsidRPr="007B2920">
        <w:rPr>
          <w:lang w:val="en-US"/>
        </w:rPr>
        <w:t xml:space="preserve">eform </w:t>
      </w:r>
      <w:r w:rsidRPr="007B2920">
        <w:t>A</w:t>
      </w:r>
      <w:r w:rsidR="00C27419" w:rsidRPr="007B2920">
        <w:rPr>
          <w:lang w:val="en-US"/>
        </w:rPr>
        <w:t>ct of 1995 (“PSLRA”)</w:t>
      </w:r>
      <w:r w:rsidRPr="007B2920">
        <w:t xml:space="preserve">, notice to the public was issued stating the deadline by which putative class members could move the Court for </w:t>
      </w:r>
      <w:r w:rsidR="00B05994" w:rsidRPr="007B2920">
        <w:rPr>
          <w:lang w:val="en-US"/>
        </w:rPr>
        <w:t xml:space="preserve">lead plaintiff </w:t>
      </w:r>
      <w:r w:rsidRPr="007B2920">
        <w:t>appointment</w:t>
      </w:r>
      <w:r w:rsidR="00B05994" w:rsidRPr="007B2920">
        <w:rPr>
          <w:lang w:val="en-US"/>
        </w:rPr>
        <w:t xml:space="preserve">. </w:t>
      </w:r>
      <w:r w:rsidRPr="007B2920">
        <w:rPr>
          <w:lang w:val="en-US"/>
        </w:rPr>
        <w:t xml:space="preserve">Several </w:t>
      </w:r>
      <w:r w:rsidRPr="007B2920">
        <w:t xml:space="preserve">parties moved for </w:t>
      </w:r>
      <w:r w:rsidR="00C27419" w:rsidRPr="007B2920">
        <w:rPr>
          <w:lang w:val="en-US"/>
        </w:rPr>
        <w:t xml:space="preserve">lead plaintiff </w:t>
      </w:r>
      <w:r w:rsidRPr="007B2920">
        <w:t>appointment. Following briefing on the motions, a motion to intervene, a motion to vacate the originally appointed lead plaintiff, and a re-opened lead plaintiff appointment process, the Court appoint</w:t>
      </w:r>
      <w:r w:rsidR="00B05994" w:rsidRPr="007B2920">
        <w:rPr>
          <w:lang w:val="en-US"/>
        </w:rPr>
        <w:t>ed</w:t>
      </w:r>
      <w:r w:rsidRPr="007B2920">
        <w:t xml:space="preserve"> AP7 as Lead Plaintiff and approv</w:t>
      </w:r>
      <w:r w:rsidR="00B05994" w:rsidRPr="007B2920">
        <w:rPr>
          <w:lang w:val="en-US"/>
        </w:rPr>
        <w:t>ed</w:t>
      </w:r>
      <w:r w:rsidRPr="007B2920">
        <w:t xml:space="preserve"> AP7’s selection of</w:t>
      </w:r>
      <w:bookmarkStart w:id="4" w:name="_Hlk129703180"/>
      <w:r w:rsidRPr="007B2920">
        <w:t xml:space="preserve"> Kessler Topaz as Lead Counsel for the class</w:t>
      </w:r>
      <w:bookmarkEnd w:id="4"/>
      <w:r w:rsidR="00B05994" w:rsidRPr="007B2920">
        <w:rPr>
          <w:lang w:val="en-US"/>
        </w:rPr>
        <w:t xml:space="preserve"> on </w:t>
      </w:r>
      <w:r w:rsidR="00B05994" w:rsidRPr="007B2920">
        <w:t>May 30, 2018</w:t>
      </w:r>
      <w:r w:rsidR="00B05994" w:rsidRPr="007B2920">
        <w:rPr>
          <w:lang w:val="en-US"/>
        </w:rPr>
        <w:t>.</w:t>
      </w:r>
    </w:p>
    <w:p w14:paraId="45FA6F12" w14:textId="21030F5D" w:rsidR="00821A2E" w:rsidRPr="00B214F8" w:rsidRDefault="00670596" w:rsidP="00FA5A1B">
      <w:pPr>
        <w:pStyle w:val="Heading1"/>
        <w:tabs>
          <w:tab w:val="clear" w:pos="2160"/>
        </w:tabs>
        <w:spacing w:before="120" w:after="120"/>
        <w:ind w:left="0"/>
        <w:rPr>
          <w:spacing w:val="-2"/>
        </w:rPr>
      </w:pPr>
      <w:r w:rsidRPr="00B214F8">
        <w:rPr>
          <w:spacing w:val="-2"/>
        </w:rPr>
        <w:t xml:space="preserve">On July 23, 2018, AP7, along with additional </w:t>
      </w:r>
      <w:r w:rsidR="00385362" w:rsidRPr="00B214F8">
        <w:rPr>
          <w:spacing w:val="-2"/>
          <w:lang w:val="en-US"/>
        </w:rPr>
        <w:t>P</w:t>
      </w:r>
      <w:proofErr w:type="spellStart"/>
      <w:r w:rsidRPr="00B214F8">
        <w:rPr>
          <w:spacing w:val="-2"/>
        </w:rPr>
        <w:t>laintiff</w:t>
      </w:r>
      <w:proofErr w:type="spellEnd"/>
      <w:r w:rsidRPr="00B214F8">
        <w:rPr>
          <w:spacing w:val="-2"/>
        </w:rPr>
        <w:t xml:space="preserve"> Cleveland Bakers, filed the Third Amended Consolidated Class Action Complaint for Violations of the Federal Securities Laws (“Third Amended Complaint”).</w:t>
      </w:r>
      <w:r w:rsidRPr="00B214F8">
        <w:rPr>
          <w:rStyle w:val="FootnoteReference"/>
          <w:spacing w:val="-2"/>
        </w:rPr>
        <w:footnoteReference w:id="4"/>
      </w:r>
      <w:r w:rsidRPr="00B214F8">
        <w:rPr>
          <w:spacing w:val="-2"/>
        </w:rPr>
        <w:t xml:space="preserve"> The Third Amended Complaint asserted claims under Sections 10(b) and 20(a) of the Securities Exchange Act of 1934 (“Exchange Act”) and Rule 10b-5 promulgated thereunder, against GE, </w:t>
      </w:r>
      <w:r w:rsidR="004006C7" w:rsidRPr="00B214F8">
        <w:rPr>
          <w:spacing w:val="-2"/>
          <w:lang w:val="en-US"/>
        </w:rPr>
        <w:t xml:space="preserve">Jeffrey </w:t>
      </w:r>
      <w:r w:rsidR="006C1168" w:rsidRPr="00B214F8">
        <w:rPr>
          <w:spacing w:val="-2"/>
          <w:lang w:val="en-US"/>
        </w:rPr>
        <w:t xml:space="preserve">S. </w:t>
      </w:r>
      <w:r w:rsidRPr="00B214F8">
        <w:rPr>
          <w:spacing w:val="-2"/>
        </w:rPr>
        <w:t>Bornstein, Jeffrey R. Immelt, Jamie S. Miller, Keith S. Sherin, Jan R. Hauser, and Richard A. Laxer</w:t>
      </w:r>
      <w:r w:rsidRPr="00B214F8">
        <w:rPr>
          <w:spacing w:val="-2"/>
          <w:u w:color="0000FF"/>
        </w:rPr>
        <w:t xml:space="preserve">, on behalf of </w:t>
      </w:r>
      <w:r w:rsidR="00B05994" w:rsidRPr="00B214F8">
        <w:rPr>
          <w:spacing w:val="-2"/>
          <w:u w:color="0000FF"/>
          <w:lang w:val="en-US"/>
        </w:rPr>
        <w:t>investors</w:t>
      </w:r>
      <w:r w:rsidRPr="00B214F8">
        <w:rPr>
          <w:spacing w:val="-2"/>
          <w:u w:color="0000FF"/>
        </w:rPr>
        <w:t xml:space="preserve"> that purchased or otherwise acquired GE </w:t>
      </w:r>
      <w:r w:rsidR="004006C7" w:rsidRPr="00B214F8">
        <w:rPr>
          <w:spacing w:val="-2"/>
          <w:u w:color="0000FF"/>
          <w:lang w:val="en-US"/>
        </w:rPr>
        <w:t xml:space="preserve">common stock </w:t>
      </w:r>
      <w:r w:rsidRPr="00B214F8">
        <w:rPr>
          <w:spacing w:val="-2"/>
          <w:u w:color="0000FF"/>
        </w:rPr>
        <w:t>from February 27, 2013, through January 23, 2018, inclusive</w:t>
      </w:r>
      <w:r w:rsidRPr="00B214F8">
        <w:rPr>
          <w:spacing w:val="-2"/>
        </w:rPr>
        <w:t>.</w:t>
      </w:r>
    </w:p>
    <w:p w14:paraId="056CF901" w14:textId="492D3A75" w:rsidR="00821A2E" w:rsidRPr="007B2920" w:rsidRDefault="00670596" w:rsidP="00FA5A1B">
      <w:pPr>
        <w:pStyle w:val="Heading1"/>
        <w:tabs>
          <w:tab w:val="clear" w:pos="2160"/>
        </w:tabs>
        <w:spacing w:before="120" w:after="120"/>
        <w:ind w:left="0"/>
      </w:pPr>
      <w:r w:rsidRPr="007B2920">
        <w:t xml:space="preserve">On September 12, 2018, defendants moved to dismiss the Third Amended Complaint. Plaintiffs </w:t>
      </w:r>
      <w:r w:rsidRPr="007B2920">
        <w:rPr>
          <w:lang w:val="en-US"/>
        </w:rPr>
        <w:t>opposed</w:t>
      </w:r>
      <w:r w:rsidRPr="007B2920">
        <w:t xml:space="preserve"> defendants’ motion on October 12, 2018</w:t>
      </w:r>
      <w:r w:rsidR="00B05994" w:rsidRPr="007B2920">
        <w:rPr>
          <w:lang w:val="en-US"/>
        </w:rPr>
        <w:t>, and</w:t>
      </w:r>
      <w:r w:rsidRPr="007B2920">
        <w:t xml:space="preserve"> </w:t>
      </w:r>
      <w:r w:rsidR="001B2F80" w:rsidRPr="007B2920">
        <w:rPr>
          <w:lang w:val="en-US"/>
        </w:rPr>
        <w:t xml:space="preserve">Defendants filed a reply in further support of their motion </w:t>
      </w:r>
      <w:proofErr w:type="spellStart"/>
      <w:r w:rsidR="001B2F80" w:rsidRPr="007B2920">
        <w:rPr>
          <w:lang w:val="en-US"/>
        </w:rPr>
        <w:t>o</w:t>
      </w:r>
      <w:r w:rsidR="001B2F80" w:rsidRPr="007B2920">
        <w:t>n</w:t>
      </w:r>
      <w:proofErr w:type="spellEnd"/>
      <w:r w:rsidR="001B2F80" w:rsidRPr="007B2920">
        <w:t xml:space="preserve"> October 29, 2018. </w:t>
      </w:r>
    </w:p>
    <w:p w14:paraId="7CA4ACD4" w14:textId="028CBBB6" w:rsidR="00821A2E" w:rsidRPr="007B2920" w:rsidRDefault="00670596" w:rsidP="00FA5A1B">
      <w:pPr>
        <w:pStyle w:val="Heading1"/>
        <w:tabs>
          <w:tab w:val="clear" w:pos="2160"/>
        </w:tabs>
        <w:spacing w:before="120" w:after="120"/>
        <w:ind w:left="0"/>
      </w:pPr>
      <w:r w:rsidRPr="007B2920">
        <w:t xml:space="preserve">Pursuant to Joint Stipulation, Plaintiffs filed the Fourth Amended Consolidated Class Action Complaint for Violations of the Federal Securities Laws on October 17, 2018 (“Fourth Amended Complaint”). </w:t>
      </w:r>
    </w:p>
    <w:p w14:paraId="7E9E88FC" w14:textId="67286BCD" w:rsidR="001B2F80" w:rsidRPr="007B2920" w:rsidRDefault="00670596" w:rsidP="00FA5A1B">
      <w:pPr>
        <w:pStyle w:val="Heading1"/>
        <w:tabs>
          <w:tab w:val="clear" w:pos="2160"/>
        </w:tabs>
        <w:spacing w:before="120" w:after="120"/>
        <w:ind w:left="0"/>
      </w:pPr>
      <w:r w:rsidRPr="007B2920">
        <w:t xml:space="preserve">By Opinion and Order dated August 29, 2019, the Court granted in part and denied in part defendants’ motion to dismiss the Fourth Amended Complaint. By the same Opinion and Order, the Court granted Plaintiffs leave to amend. </w:t>
      </w:r>
    </w:p>
    <w:p w14:paraId="5055D9BC" w14:textId="0661D968" w:rsidR="001B2F80" w:rsidRPr="007B2920" w:rsidRDefault="00670596" w:rsidP="00FA5A1B">
      <w:pPr>
        <w:pStyle w:val="Heading1"/>
        <w:tabs>
          <w:tab w:val="clear" w:pos="2160"/>
        </w:tabs>
        <w:spacing w:before="120" w:after="120"/>
        <w:ind w:left="0"/>
      </w:pPr>
      <w:r w:rsidRPr="007B2920">
        <w:t xml:space="preserve">On October 25, 2019, Plaintiffs filed the Fifth Amended Consolidated Class Action Complaint for Violations of the Federal Securities Laws (“Fifth Amended Complaint”). Defendants moved to dismiss the Fifth Amended Complaint on December 18, 2019. Plaintiffs </w:t>
      </w:r>
      <w:r w:rsidRPr="007B2920">
        <w:rPr>
          <w:lang w:val="en-US"/>
        </w:rPr>
        <w:t>opposed defendants’ motion</w:t>
      </w:r>
      <w:r w:rsidRPr="007B2920">
        <w:t xml:space="preserve"> on January 31, 2020, and </w:t>
      </w:r>
      <w:r w:rsidR="00A85C1D" w:rsidRPr="007B2920">
        <w:rPr>
          <w:lang w:val="en-US"/>
        </w:rPr>
        <w:t>d</w:t>
      </w:r>
      <w:proofErr w:type="spellStart"/>
      <w:r w:rsidRPr="007B2920">
        <w:t>efendants</w:t>
      </w:r>
      <w:proofErr w:type="spellEnd"/>
      <w:r w:rsidRPr="007B2920">
        <w:t xml:space="preserve"> filed a reply in further support of their motion on February 28, 2020.</w:t>
      </w:r>
    </w:p>
    <w:p w14:paraId="2C20328F" w14:textId="73D2D22D" w:rsidR="001B2F80" w:rsidRPr="007B2920" w:rsidRDefault="00670596" w:rsidP="00FA5A1B">
      <w:pPr>
        <w:pStyle w:val="Heading1"/>
        <w:tabs>
          <w:tab w:val="clear" w:pos="2160"/>
        </w:tabs>
        <w:spacing w:before="120" w:after="120"/>
        <w:ind w:left="0"/>
      </w:pPr>
      <w:r w:rsidRPr="007B2920">
        <w:lastRenderedPageBreak/>
        <w:t xml:space="preserve">By Opinion and Order dated January 29, 2021, the Court granted in part and denied in part </w:t>
      </w:r>
      <w:r w:rsidR="00A85C1D" w:rsidRPr="007B2920">
        <w:rPr>
          <w:lang w:val="en-US"/>
        </w:rPr>
        <w:t>d</w:t>
      </w:r>
      <w:proofErr w:type="spellStart"/>
      <w:r w:rsidRPr="007B2920">
        <w:t>efendants</w:t>
      </w:r>
      <w:proofErr w:type="spellEnd"/>
      <w:r w:rsidRPr="007B2920">
        <w:t xml:space="preserve">’ motion to dismiss the Fifth Amended Complaint. Specifically, the Court denied </w:t>
      </w:r>
      <w:r w:rsidR="00A85C1D" w:rsidRPr="007B2920">
        <w:rPr>
          <w:lang w:val="en-US"/>
        </w:rPr>
        <w:t xml:space="preserve">the </w:t>
      </w:r>
      <w:r w:rsidRPr="007B2920">
        <w:t>motion as to (1) Plaintiffs’ Section 10(b) and Rule 10b-5 claims concerning (a) factoring in GE’s 2016 Form 10-K and (b) GE’s failure to disclose factoring in its class period financial statements from 2015 on, against GE and Bornstein; and (2) Plaintiffs’ corresponding Section 20(a) control person claims against Bornstein. By its Opinion and Order, the Court dismissed the remainder of the Fifth Amended Complaint and dismissed Jeffrey R. Immelt, Jamie S. Miller, Keith S. Sherin, Jan R. Hauser, and Richard A. Laxer as defendants in the Action.</w:t>
      </w:r>
      <w:r w:rsidRPr="007B2920">
        <w:rPr>
          <w:rStyle w:val="FootnoteReference"/>
        </w:rPr>
        <w:footnoteReference w:id="5"/>
      </w:r>
      <w:r w:rsidRPr="007B2920">
        <w:t xml:space="preserve"> </w:t>
      </w:r>
    </w:p>
    <w:p w14:paraId="0A7DABB1" w14:textId="123066DE" w:rsidR="001B2F80" w:rsidRPr="007B2920" w:rsidRDefault="00670596" w:rsidP="00FA5A1B">
      <w:pPr>
        <w:pStyle w:val="Heading1"/>
        <w:tabs>
          <w:tab w:val="clear" w:pos="2160"/>
        </w:tabs>
        <w:spacing w:before="120" w:after="120"/>
        <w:ind w:left="0"/>
      </w:pPr>
      <w:r w:rsidRPr="007B2920">
        <w:t>On February 12, 2021, Defendants answered the Fifth Amended Complaint</w:t>
      </w:r>
      <w:r w:rsidRPr="007B2920">
        <w:rPr>
          <w:u w:color="0000FF"/>
        </w:rPr>
        <w:t>, denying the claims and asserting their affirmative defenses</w:t>
      </w:r>
      <w:r w:rsidRPr="007B2920">
        <w:t>. On February 25, 2021, the Parties appeared before the Court and participated in an initial pretrial conference.</w:t>
      </w:r>
      <w:bookmarkStart w:id="5" w:name="_Hlk180131910"/>
    </w:p>
    <w:p w14:paraId="754FF9CC" w14:textId="450EE385" w:rsidR="001B2F80" w:rsidRPr="007B2920" w:rsidRDefault="00670596" w:rsidP="00FA5A1B">
      <w:pPr>
        <w:pStyle w:val="Heading1"/>
        <w:tabs>
          <w:tab w:val="clear" w:pos="2160"/>
        </w:tabs>
        <w:spacing w:before="120" w:after="120"/>
        <w:ind w:left="0"/>
      </w:pPr>
      <w:r w:rsidRPr="007B2920">
        <w:t xml:space="preserve">Thereafter, discovery in the Action commenced. </w:t>
      </w:r>
      <w:r w:rsidR="00C83E41" w:rsidRPr="007B2920">
        <w:t xml:space="preserve">On May 21, 2021, Plaintiffs moved for class certification (“Class Certification Motion”), which was accompanied by a report from Plaintiffs’ expert, David I. Tabak, Ph.D. (“Dr. Tabak”). </w:t>
      </w:r>
      <w:bookmarkEnd w:id="5"/>
    </w:p>
    <w:p w14:paraId="0F814877" w14:textId="6DC5C070" w:rsidR="001B2F80" w:rsidRPr="007B2920" w:rsidRDefault="00670596" w:rsidP="00FA5A1B">
      <w:pPr>
        <w:pStyle w:val="Heading1"/>
        <w:tabs>
          <w:tab w:val="clear" w:pos="2160"/>
        </w:tabs>
        <w:spacing w:before="120" w:after="120"/>
        <w:ind w:left="0"/>
      </w:pPr>
      <w:r w:rsidRPr="007B2920">
        <w:t xml:space="preserve">Also on August 9, 2021, Defendants moved for leave to file an early summary judgment motion on loss causation. On August 16, 2021, Plaintiffs </w:t>
      </w:r>
      <w:r w:rsidRPr="007B2920">
        <w:rPr>
          <w:lang w:val="en-US"/>
        </w:rPr>
        <w:t>opposed</w:t>
      </w:r>
      <w:r w:rsidRPr="007B2920">
        <w:t xml:space="preserve"> Defendants’ motion, which included a request to submit (and appended) a reply expert report from Dr. Tabak. The Court denied Defendants’ motion on August 22, 2021. </w:t>
      </w:r>
    </w:p>
    <w:p w14:paraId="7B8DB369" w14:textId="6D4B5FA9" w:rsidR="001B2F80" w:rsidRPr="007B2920" w:rsidRDefault="00670596" w:rsidP="00FA5A1B">
      <w:pPr>
        <w:pStyle w:val="Heading1"/>
        <w:tabs>
          <w:tab w:val="clear" w:pos="2160"/>
        </w:tabs>
        <w:spacing w:before="120" w:after="120"/>
        <w:ind w:left="0"/>
      </w:pPr>
      <w:r w:rsidRPr="007B2920">
        <w:t xml:space="preserve">On August 30, 2021, Defendants </w:t>
      </w:r>
      <w:r w:rsidR="00C27419" w:rsidRPr="007B2920">
        <w:rPr>
          <w:lang w:val="en-US"/>
        </w:rPr>
        <w:t>opposed</w:t>
      </w:r>
      <w:r w:rsidRPr="007B2920">
        <w:t xml:space="preserve"> Plaintiffs</w:t>
      </w:r>
      <w:r w:rsidRPr="007B2920">
        <w:rPr>
          <w:u w:color="0000FF"/>
        </w:rPr>
        <w:t>’</w:t>
      </w:r>
      <w:r w:rsidRPr="007B2920">
        <w:t xml:space="preserve"> Class Certification Motion.</w:t>
      </w:r>
      <w:r w:rsidRPr="007B2920">
        <w:rPr>
          <w:rStyle w:val="FootnoteReference"/>
        </w:rPr>
        <w:footnoteReference w:id="6"/>
      </w:r>
      <w:r w:rsidRPr="007B2920">
        <w:t xml:space="preserve"> Plaintiffs filed a reply in support of their motion on October 29, 2021. </w:t>
      </w:r>
    </w:p>
    <w:p w14:paraId="443B4C39" w14:textId="31E7F755" w:rsidR="001B2F80" w:rsidRPr="007B2920" w:rsidRDefault="00670596" w:rsidP="00FA5A1B">
      <w:pPr>
        <w:pStyle w:val="Heading1"/>
        <w:tabs>
          <w:tab w:val="clear" w:pos="2160"/>
        </w:tabs>
        <w:spacing w:before="120" w:after="120"/>
        <w:ind w:left="0"/>
      </w:pPr>
      <w:r w:rsidRPr="007B2920">
        <w:t xml:space="preserve">On September 2, 2021, Defendants filed a second motion for leave to file an early partial summary judgment motion on loss causation, which attached a rebuttal expert report from Mr. Fischel. On September 9, 2021, Plaintiffs opposed Defendants’ motion. The Court denied Defendants’ motion on September 17, 2021. </w:t>
      </w:r>
    </w:p>
    <w:p w14:paraId="7F75E509" w14:textId="5E525D72" w:rsidR="001B2F80" w:rsidRPr="007B2920" w:rsidRDefault="00670596" w:rsidP="00FA5A1B">
      <w:pPr>
        <w:pStyle w:val="Heading1"/>
        <w:tabs>
          <w:tab w:val="clear" w:pos="2160"/>
        </w:tabs>
        <w:spacing w:before="120" w:after="120"/>
        <w:ind w:left="0"/>
      </w:pPr>
      <w:r w:rsidRPr="007B2920">
        <w:t xml:space="preserve">On September 24, 2021, the Court denied as premature Plaintiffs’ </w:t>
      </w:r>
      <w:r w:rsidR="00C27419" w:rsidRPr="007B2920">
        <w:rPr>
          <w:lang w:val="en-US"/>
        </w:rPr>
        <w:t xml:space="preserve">letter </w:t>
      </w:r>
      <w:r w:rsidRPr="007B2920">
        <w:t xml:space="preserve">motion </w:t>
      </w:r>
      <w:r w:rsidR="00C27419" w:rsidRPr="007B2920">
        <w:rPr>
          <w:lang w:val="en-US"/>
        </w:rPr>
        <w:t xml:space="preserve">requesting </w:t>
      </w:r>
      <w:r w:rsidRPr="007B2920">
        <w:t xml:space="preserve">permission to seek more than 15 fact witness depositions. </w:t>
      </w:r>
    </w:p>
    <w:p w14:paraId="01EA50D9" w14:textId="77777777" w:rsidR="001B2F80" w:rsidRPr="007B2920" w:rsidRDefault="00670596" w:rsidP="00FA5A1B">
      <w:pPr>
        <w:pStyle w:val="Heading1"/>
        <w:tabs>
          <w:tab w:val="clear" w:pos="2160"/>
        </w:tabs>
        <w:spacing w:before="120" w:after="120"/>
        <w:ind w:left="0"/>
      </w:pPr>
      <w:r w:rsidRPr="007B2920">
        <w:t xml:space="preserve">On January 19, 2022, based on new facts obtained through their discovery efforts, Plaintiffs moved for leave to file the Sixth Amended Complaint (defined below), attaching the draft pleading. Defendants opposed Plaintiffs’ motion on February 3, 2022. </w:t>
      </w:r>
    </w:p>
    <w:p w14:paraId="109400AD" w14:textId="77777777" w:rsidR="001B2F80" w:rsidRPr="007B2920" w:rsidRDefault="00670596" w:rsidP="00FA5A1B">
      <w:pPr>
        <w:pStyle w:val="Heading1"/>
        <w:tabs>
          <w:tab w:val="clear" w:pos="2160"/>
        </w:tabs>
        <w:spacing w:before="120" w:after="120"/>
        <w:ind w:left="0"/>
        <w:rPr>
          <w:i/>
        </w:rPr>
      </w:pPr>
      <w:r w:rsidRPr="007B2920">
        <w:t>By Opinion and Order dated April 11, 2022 (“Class Certification Order”), the Court granted Plaintiffs’ Class Certification Motion. Specifically, the Court (</w:t>
      </w:r>
      <w:proofErr w:type="spellStart"/>
      <w:r w:rsidRPr="007B2920">
        <w:t>i</w:t>
      </w:r>
      <w:proofErr w:type="spellEnd"/>
      <w:r w:rsidRPr="007B2920">
        <w:t xml:space="preserve">) certified a class of all persons and entities that purchased or acquired GE common stock between February 29, 2016 and January 23, 2018, inclusive and were damaged thereby; (ii) appointed AP7 and Cleveland Bakers as Class Representatives; and (iii) appointed Kessler Topaz and Grant &amp; </w:t>
      </w:r>
      <w:proofErr w:type="spellStart"/>
      <w:r w:rsidRPr="007B2920">
        <w:t>Eisenhofer</w:t>
      </w:r>
      <w:proofErr w:type="spellEnd"/>
      <w:r w:rsidRPr="007B2920">
        <w:t xml:space="preserve"> as Class Counsel and Liaison Counsel, respectively. By the same Opinion and Order, the Court granted Plaintiffs’ motion for leave to file a sixth amended complaint. </w:t>
      </w:r>
    </w:p>
    <w:p w14:paraId="24374E1D" w14:textId="4FB00A14" w:rsidR="001B2F80" w:rsidRPr="007B2920" w:rsidRDefault="00670596" w:rsidP="00FA5A1B">
      <w:pPr>
        <w:pStyle w:val="Heading1"/>
        <w:tabs>
          <w:tab w:val="clear" w:pos="2160"/>
        </w:tabs>
        <w:spacing w:before="120" w:after="120"/>
        <w:ind w:left="0"/>
        <w:rPr>
          <w:i/>
        </w:rPr>
      </w:pPr>
      <w:r w:rsidRPr="007B2920">
        <w:t xml:space="preserve">On May 13, 2022, Class Representatives filed the Sixth Amended Consolidated Class Action Complaint for Violations of the Federal Securities Laws (“Sixth Amended </w:t>
      </w:r>
      <w:r w:rsidRPr="007B2920">
        <w:lastRenderedPageBreak/>
        <w:t>Complaint” or “Complaint”)</w:t>
      </w:r>
      <w:r w:rsidR="00C27419" w:rsidRPr="007B2920">
        <w:rPr>
          <w:lang w:val="en-US"/>
        </w:rPr>
        <w:t xml:space="preserve">, </w:t>
      </w:r>
      <w:r w:rsidRPr="007B2920">
        <w:t>assert</w:t>
      </w:r>
      <w:r w:rsidR="00C27419" w:rsidRPr="007B2920">
        <w:rPr>
          <w:lang w:val="en-US"/>
        </w:rPr>
        <w:t>ing</w:t>
      </w:r>
      <w:r w:rsidRPr="007B2920">
        <w:t xml:space="preserve"> claims for violations of Sections 10(b) and 20(a) of the Exchange Act.</w:t>
      </w:r>
      <w:r w:rsidRPr="007B2920">
        <w:rPr>
          <w:lang w:val="en-US"/>
        </w:rPr>
        <w:t xml:space="preserve"> </w:t>
      </w:r>
      <w:r w:rsidRPr="007B2920">
        <w:t>Defendants answered the Complaint on June 10, 2022.</w:t>
      </w:r>
    </w:p>
    <w:p w14:paraId="5B1046F3" w14:textId="77A443F7" w:rsidR="001B2F80" w:rsidRPr="007B2920" w:rsidRDefault="00670596" w:rsidP="00FA5A1B">
      <w:pPr>
        <w:pStyle w:val="Heading1"/>
        <w:tabs>
          <w:tab w:val="clear" w:pos="2160"/>
        </w:tabs>
        <w:spacing w:before="120" w:after="120"/>
        <w:ind w:left="0"/>
      </w:pPr>
      <w:r w:rsidRPr="007B2920">
        <w:t>On May 26, 2022, Class Representatives filed a motion to approve the form and manner of notice to the Class</w:t>
      </w:r>
      <w:r w:rsidR="00C27419" w:rsidRPr="007B2920">
        <w:rPr>
          <w:lang w:val="en-US"/>
        </w:rPr>
        <w:t xml:space="preserve">, which </w:t>
      </w:r>
      <w:proofErr w:type="spellStart"/>
      <w:r w:rsidR="00C27419" w:rsidRPr="007B2920">
        <w:rPr>
          <w:lang w:val="en-US"/>
        </w:rPr>
        <w:t>t</w:t>
      </w:r>
      <w:r w:rsidRPr="007B2920">
        <w:t>he</w:t>
      </w:r>
      <w:proofErr w:type="spellEnd"/>
      <w:r w:rsidRPr="007B2920">
        <w:t xml:space="preserve"> Court granted on May 27, 2022 (“Class Notice Order”). Among other things, the Court found that the proposed Class Notice met the requirements of Federal Rule of Civil Procedure 23 and due process and constituted the best notice practicable under the circumstances. Class Notice was mailed to potential Class Members beginning on June 16, 2022 and a summary notice of the pendency of the Action as a class action was published in </w:t>
      </w:r>
      <w:r w:rsidRPr="007B2920">
        <w:rPr>
          <w:i/>
        </w:rPr>
        <w:t>The Wall Street Journal</w:t>
      </w:r>
      <w:r w:rsidRPr="007B2920">
        <w:t xml:space="preserve"> and transmitted over </w:t>
      </w:r>
      <w:r w:rsidRPr="007B2920">
        <w:rPr>
          <w:i/>
        </w:rPr>
        <w:t>PR Newswire</w:t>
      </w:r>
      <w:r w:rsidRPr="007B2920">
        <w:t xml:space="preserve"> on June 24, 2022.</w:t>
      </w:r>
      <w:r w:rsidR="00C27419" w:rsidRPr="007B2920">
        <w:rPr>
          <w:lang w:val="en-US"/>
        </w:rPr>
        <w:t xml:space="preserve"> </w:t>
      </w:r>
      <w:r w:rsidRPr="007B2920">
        <w:t>Pursuant to the Court’s Class Notice Order, Class Notice provided Class Members with the opportunity to request exclusion from the Class, explained that right, and set forth the procedures for doing so.</w:t>
      </w:r>
      <w:r w:rsidRPr="007B2920">
        <w:rPr>
          <w:rStyle w:val="FootnoteReference"/>
        </w:rPr>
        <w:footnoteReference w:id="7"/>
      </w:r>
      <w:r w:rsidR="00C27419" w:rsidRPr="007B2920">
        <w:rPr>
          <w:lang w:val="en-US"/>
        </w:rPr>
        <w:t xml:space="preserve"> </w:t>
      </w:r>
      <w:r w:rsidRPr="007B2920">
        <w:t xml:space="preserve">The deadline for submitting requests for exclusion was August 15, 2022. A total of 318 requests for exclusion from the Class were received. </w:t>
      </w:r>
    </w:p>
    <w:p w14:paraId="67C5D410" w14:textId="66C96DD5" w:rsidR="001B2F80" w:rsidRPr="007B2920" w:rsidRDefault="00670596" w:rsidP="00FA5A1B">
      <w:pPr>
        <w:pStyle w:val="Heading1"/>
        <w:tabs>
          <w:tab w:val="clear" w:pos="2160"/>
        </w:tabs>
        <w:spacing w:before="120" w:after="120"/>
        <w:ind w:left="0"/>
      </w:pPr>
      <w:r w:rsidRPr="007B2920">
        <w:t xml:space="preserve">On September 6, 2022, Defendants moved for summary judgment with prejudice pursuant to Federal Rule of Civil Procedure 56. On the same day, Defendants filed motions to exclude the testimony of Class Representatives’ experts, Dr. Tabak and S.P. Kothari. Alongside these motions, Defendants filed a Statement of Material Facts. Class Representatives opposed these motions on November 4, 2022 and filed their Response to Defendants’ Statement of Material Facts and Plaintiffs’ Statement of Additional Material Facts Introduced by Plaintiffs in Opposition to Defendants’ Motion for Summary Judgment. Also on November 4, 2022, Class Representatives filed motions to exclude certain testimony of Defendants’ expert, Christopher J. Russo, to exclude the testimony of Mr. Fischel, and to strike a supplemental declaration of Mr. Fischel submitted in connection with Defendants’ motion for summary judgment. These motions were fully briefed. </w:t>
      </w:r>
    </w:p>
    <w:p w14:paraId="510BE1EC" w14:textId="1CC9B66F" w:rsidR="001B2F80" w:rsidRPr="007B2920" w:rsidRDefault="00670596" w:rsidP="00FA5A1B">
      <w:pPr>
        <w:pStyle w:val="Heading1"/>
        <w:tabs>
          <w:tab w:val="clear" w:pos="2160"/>
        </w:tabs>
        <w:spacing w:before="120" w:after="120"/>
        <w:ind w:left="0"/>
        <w:rPr>
          <w:i/>
        </w:rPr>
      </w:pPr>
      <w:r w:rsidRPr="007B2920">
        <w:t xml:space="preserve">By Opinion and Order dated September 28, 2023, the Court denied Defendants’ motion for summary judgment, except as to claims arising from alleged corrective disclosures between November 2017 and January 2018. By the same Opinion and Order, the Court granted in part and denied in part the Parties’ respective </w:t>
      </w:r>
      <w:r w:rsidRPr="007B2920">
        <w:rPr>
          <w:i/>
        </w:rPr>
        <w:t xml:space="preserve"> </w:t>
      </w:r>
      <w:r w:rsidRPr="007B2920">
        <w:t xml:space="preserve">motions </w:t>
      </w:r>
      <w:r w:rsidR="00630657" w:rsidRPr="007B2920">
        <w:rPr>
          <w:lang w:val="en-US"/>
        </w:rPr>
        <w:t xml:space="preserve">to exclude certain expert testimony </w:t>
      </w:r>
      <w:r w:rsidRPr="007B2920">
        <w:t xml:space="preserve">and granted Class Representatives’ motion to strike the supplemental declaration of Mr. Fischel. </w:t>
      </w:r>
    </w:p>
    <w:p w14:paraId="79CEEE46" w14:textId="7E590A21" w:rsidR="001B2F80" w:rsidRPr="00084138" w:rsidRDefault="00670596" w:rsidP="00FA5A1B">
      <w:pPr>
        <w:pStyle w:val="Heading1"/>
        <w:tabs>
          <w:tab w:val="clear" w:pos="2160"/>
        </w:tabs>
        <w:spacing w:before="120" w:after="120"/>
        <w:ind w:left="0"/>
      </w:pPr>
      <w:r w:rsidRPr="00084138">
        <w:t>On October 12, 2023, Defendants moved for reconsideration of the Court’s September</w:t>
      </w:r>
      <w:r w:rsidR="00B214F8" w:rsidRPr="00084138">
        <w:t> </w:t>
      </w:r>
      <w:r w:rsidRPr="00084138">
        <w:t xml:space="preserve">23, 2023 Opinion and Order. Class Representatives opposed </w:t>
      </w:r>
      <w:r w:rsidR="00ED3F26" w:rsidRPr="00084138">
        <w:rPr>
          <w:lang w:val="en-US"/>
        </w:rPr>
        <w:t xml:space="preserve">the </w:t>
      </w:r>
      <w:r w:rsidRPr="00084138">
        <w:t>motion on October</w:t>
      </w:r>
      <w:r w:rsidR="00B214F8" w:rsidRPr="00084138">
        <w:t> </w:t>
      </w:r>
      <w:r w:rsidRPr="00084138">
        <w:t>26,</w:t>
      </w:r>
      <w:r w:rsidR="00B214F8" w:rsidRPr="00084138">
        <w:t> </w:t>
      </w:r>
      <w:r w:rsidRPr="00084138">
        <w:t>2023, and Defendants filed a reply in further support of their motion on November</w:t>
      </w:r>
      <w:r w:rsidR="00B214F8" w:rsidRPr="00084138">
        <w:t> </w:t>
      </w:r>
      <w:r w:rsidRPr="00084138">
        <w:t>2,</w:t>
      </w:r>
      <w:r w:rsidR="00B214F8" w:rsidRPr="00084138">
        <w:t> </w:t>
      </w:r>
      <w:r w:rsidRPr="00084138">
        <w:t xml:space="preserve">2023. </w:t>
      </w:r>
    </w:p>
    <w:p w14:paraId="10BDD1FF" w14:textId="345B05D1" w:rsidR="001B2F80" w:rsidRPr="007B2920" w:rsidRDefault="00670596" w:rsidP="00FA5A1B">
      <w:pPr>
        <w:pStyle w:val="Heading1"/>
        <w:tabs>
          <w:tab w:val="clear" w:pos="2160"/>
        </w:tabs>
        <w:spacing w:before="120" w:after="120"/>
        <w:ind w:left="0"/>
      </w:pPr>
      <w:r w:rsidRPr="007B2920">
        <w:t xml:space="preserve">Throughout the fall of 2023, the Parties engaged in substantial trial preparation and </w:t>
      </w:r>
      <w:r w:rsidR="006C1168" w:rsidRPr="007B2920">
        <w:t>negotiat</w:t>
      </w:r>
      <w:r w:rsidR="006C1168" w:rsidRPr="007B2920">
        <w:rPr>
          <w:lang w:val="en-US"/>
        </w:rPr>
        <w:t>ion</w:t>
      </w:r>
      <w:r w:rsidR="006C1168" w:rsidRPr="007B2920">
        <w:t xml:space="preserve"> </w:t>
      </w:r>
      <w:r w:rsidRPr="007B2920">
        <w:t xml:space="preserve">over the contents of pretrial submissions, holding numerous meet-and-confers. On December 20, 2023, the Parties filed a Joint Pretrial Statement, which included the Parties’ witness lists, affirmative and counter deposition designations, proposed and competing jury charges and position statements, proposed and competing verdict forms and competing position statements, proposed </w:t>
      </w:r>
      <w:proofErr w:type="spellStart"/>
      <w:r w:rsidRPr="007B2920">
        <w:rPr>
          <w:i/>
        </w:rPr>
        <w:t>voir</w:t>
      </w:r>
      <w:proofErr w:type="spellEnd"/>
      <w:r w:rsidRPr="007B2920">
        <w:rPr>
          <w:i/>
        </w:rPr>
        <w:t xml:space="preserve"> dire</w:t>
      </w:r>
      <w:r w:rsidRPr="007B2920">
        <w:t xml:space="preserve"> and jury questionnaire</w:t>
      </w:r>
      <w:r w:rsidR="004006C7" w:rsidRPr="007B2920">
        <w:rPr>
          <w:lang w:val="en-US"/>
        </w:rPr>
        <w:t>s</w:t>
      </w:r>
      <w:r w:rsidRPr="007B2920">
        <w:t xml:space="preserve">, and exhibit lists (along with corresponding objections). Also on December 20, 2023, the Parties filed their respective </w:t>
      </w:r>
      <w:r w:rsidRPr="007B2920">
        <w:rPr>
          <w:i/>
        </w:rPr>
        <w:t xml:space="preserve">in </w:t>
      </w:r>
      <w:proofErr w:type="spellStart"/>
      <w:r w:rsidRPr="007B2920">
        <w:rPr>
          <w:i/>
        </w:rPr>
        <w:t>limine</w:t>
      </w:r>
      <w:proofErr w:type="spellEnd"/>
      <w:r w:rsidRPr="007B2920">
        <w:rPr>
          <w:i/>
        </w:rPr>
        <w:t xml:space="preserve"> </w:t>
      </w:r>
      <w:r w:rsidRPr="007B2920">
        <w:t xml:space="preserve">motions and competing motions to bifurcate the trial. </w:t>
      </w:r>
    </w:p>
    <w:p w14:paraId="624138CE" w14:textId="4FF30D37" w:rsidR="001B2F80" w:rsidRPr="007B2920" w:rsidRDefault="00670596" w:rsidP="00FA5A1B">
      <w:pPr>
        <w:pStyle w:val="Heading1"/>
        <w:tabs>
          <w:tab w:val="clear" w:pos="2160"/>
        </w:tabs>
        <w:spacing w:before="120" w:after="120"/>
        <w:ind w:left="0"/>
      </w:pPr>
      <w:r w:rsidRPr="007B2920">
        <w:rPr>
          <w:lang w:val="en-US"/>
        </w:rPr>
        <w:lastRenderedPageBreak/>
        <w:t>Thereafter</w:t>
      </w:r>
      <w:r w:rsidRPr="007B2920">
        <w:t xml:space="preserve">, the Parties continued to engage in substantial trial preparations, including briefing on their respective motions to bifurcate and </w:t>
      </w:r>
      <w:r w:rsidRPr="007B2920">
        <w:rPr>
          <w:i/>
        </w:rPr>
        <w:t xml:space="preserve">in </w:t>
      </w:r>
      <w:proofErr w:type="spellStart"/>
      <w:r w:rsidRPr="007B2920">
        <w:rPr>
          <w:i/>
        </w:rPr>
        <w:t>limine</w:t>
      </w:r>
      <w:proofErr w:type="spellEnd"/>
      <w:r w:rsidRPr="007B2920">
        <w:t xml:space="preserve"> motions and responding and objecting to designated deposition testimony and exhibits. On January 11, 2024, the Parties filed their </w:t>
      </w:r>
      <w:r w:rsidRPr="007B2920">
        <w:rPr>
          <w:lang w:val="en-US"/>
        </w:rPr>
        <w:t xml:space="preserve">respective </w:t>
      </w:r>
      <w:r w:rsidRPr="007B2920">
        <w:t xml:space="preserve">oppositions to </w:t>
      </w:r>
      <w:r w:rsidRPr="007B2920">
        <w:rPr>
          <w:lang w:val="en-US"/>
        </w:rPr>
        <w:t xml:space="preserve">the </w:t>
      </w:r>
      <w:r w:rsidRPr="007B2920">
        <w:t xml:space="preserve">motions to bifurcate and motions </w:t>
      </w:r>
      <w:r w:rsidRPr="007B2920">
        <w:rPr>
          <w:i/>
        </w:rPr>
        <w:t xml:space="preserve">in </w:t>
      </w:r>
      <w:proofErr w:type="spellStart"/>
      <w:r w:rsidRPr="007B2920">
        <w:rPr>
          <w:i/>
        </w:rPr>
        <w:t>limine</w:t>
      </w:r>
      <w:proofErr w:type="spellEnd"/>
      <w:r w:rsidRPr="007B2920">
        <w:t xml:space="preserve">. </w:t>
      </w:r>
    </w:p>
    <w:p w14:paraId="3248713F" w14:textId="7E0FAD4E" w:rsidR="001B2F80" w:rsidRPr="007B2920" w:rsidRDefault="00670596" w:rsidP="00FA5A1B">
      <w:pPr>
        <w:pStyle w:val="Heading1"/>
        <w:tabs>
          <w:tab w:val="clear" w:pos="2160"/>
        </w:tabs>
        <w:spacing w:before="120" w:after="120"/>
        <w:ind w:left="0"/>
      </w:pPr>
      <w:r w:rsidRPr="007B2920">
        <w:t>By Memorandum Opinion and Order dated March 21, 2024, the Court denied Defendants’ motion for reconsideration, except as to the Court’s prior decision to strike Mr.</w:t>
      </w:r>
      <w:r w:rsidR="00B214F8">
        <w:t> </w:t>
      </w:r>
      <w:r w:rsidRPr="007B2920">
        <w:t xml:space="preserve">Fischel’s declaration, and granted Plaintiffs’ motion to bifurcate trial. </w:t>
      </w:r>
    </w:p>
    <w:p w14:paraId="303D9DDD" w14:textId="18B52EE6" w:rsidR="001B2F80" w:rsidRPr="007B2920" w:rsidRDefault="00670596" w:rsidP="00FA5A1B">
      <w:pPr>
        <w:pStyle w:val="Heading1"/>
        <w:tabs>
          <w:tab w:val="clear" w:pos="2160"/>
        </w:tabs>
        <w:spacing w:before="120" w:after="120"/>
        <w:ind w:left="0"/>
      </w:pPr>
      <w:r w:rsidRPr="007B2920">
        <w:t xml:space="preserve">Trial was scheduled to commence on November 11, 2024. </w:t>
      </w:r>
    </w:p>
    <w:p w14:paraId="736E6169" w14:textId="7DD32597" w:rsidR="00296EB2" w:rsidRPr="007B2920" w:rsidRDefault="00670596" w:rsidP="00FA5A1B">
      <w:pPr>
        <w:pStyle w:val="Heading1"/>
        <w:tabs>
          <w:tab w:val="clear" w:pos="2160"/>
        </w:tabs>
        <w:spacing w:before="120" w:after="120"/>
        <w:ind w:left="0"/>
      </w:pPr>
      <w:r w:rsidRPr="007B2920">
        <w:t xml:space="preserve">The Parties </w:t>
      </w:r>
      <w:r w:rsidR="00A85C1D" w:rsidRPr="007B2920">
        <w:rPr>
          <w:lang w:val="en-US"/>
        </w:rPr>
        <w:t xml:space="preserve">participated in three confidential mediation sessions before </w:t>
      </w:r>
      <w:r w:rsidRPr="007B2920">
        <w:t>former United States District Court Judge Layn Phillips</w:t>
      </w:r>
      <w:r w:rsidR="00A85C1D" w:rsidRPr="007B2920">
        <w:rPr>
          <w:lang w:val="en-US"/>
        </w:rPr>
        <w:t xml:space="preserve"> on August 11, 2022, November 2, 2023 and August 23, 2024.</w:t>
      </w:r>
      <w:r w:rsidRPr="007B2920">
        <w:t xml:space="preserve"> Prior to </w:t>
      </w:r>
      <w:r w:rsidR="00A85C1D" w:rsidRPr="007B2920">
        <w:rPr>
          <w:lang w:val="en-US"/>
        </w:rPr>
        <w:t>each</w:t>
      </w:r>
      <w:r w:rsidRPr="007B2920">
        <w:t xml:space="preserve"> mediation, the Parties exchanged and also submitted to Judge Phillips detailed mediation statements</w:t>
      </w:r>
      <w:r w:rsidR="00A85C1D" w:rsidRPr="007B2920">
        <w:rPr>
          <w:lang w:val="en-US"/>
        </w:rPr>
        <w:t xml:space="preserve"> with exhibits</w:t>
      </w:r>
      <w:r w:rsidRPr="007B2920">
        <w:t>.</w:t>
      </w:r>
      <w:r w:rsidR="00A85C1D" w:rsidRPr="007B2920">
        <w:rPr>
          <w:lang w:val="en-US"/>
        </w:rPr>
        <w:t xml:space="preserve"> </w:t>
      </w:r>
      <w:r w:rsidRPr="007B2920">
        <w:t xml:space="preserve">Although the Parties could not reach an agreement to resolve the Action </w:t>
      </w:r>
      <w:r w:rsidR="00A85C1D" w:rsidRPr="007B2920">
        <w:rPr>
          <w:lang w:val="en-US"/>
        </w:rPr>
        <w:t xml:space="preserve">during those </w:t>
      </w:r>
      <w:r w:rsidRPr="007B2920">
        <w:t>mediation</w:t>
      </w:r>
      <w:r w:rsidR="00A85C1D" w:rsidRPr="007B2920">
        <w:rPr>
          <w:lang w:val="en-US"/>
        </w:rPr>
        <w:t>s</w:t>
      </w:r>
      <w:r w:rsidRPr="007B2920">
        <w:t xml:space="preserve">, they continued their discussions </w:t>
      </w:r>
      <w:r w:rsidR="00A85C1D" w:rsidRPr="007B2920">
        <w:rPr>
          <w:lang w:val="en-US"/>
        </w:rPr>
        <w:t xml:space="preserve">after each </w:t>
      </w:r>
      <w:r w:rsidRPr="007B2920">
        <w:t>with Judge Phillips. On October 10, 2024, the Parties reached an agreement to resolve the Action</w:t>
      </w:r>
      <w:r w:rsidR="00B05994" w:rsidRPr="007B2920">
        <w:rPr>
          <w:lang w:val="en-US"/>
        </w:rPr>
        <w:t xml:space="preserve"> and executed a term sheet on October 16, 2024.</w:t>
      </w:r>
    </w:p>
    <w:p w14:paraId="06732653" w14:textId="327647E8" w:rsidR="00296EB2" w:rsidRPr="007B2920" w:rsidRDefault="00670596" w:rsidP="00FA5A1B">
      <w:pPr>
        <w:pStyle w:val="Heading1"/>
        <w:tabs>
          <w:tab w:val="clear" w:pos="2160"/>
        </w:tabs>
        <w:spacing w:before="120" w:after="120"/>
        <w:ind w:left="0"/>
      </w:pPr>
      <w:r w:rsidRPr="007B2920">
        <w:rPr>
          <w:color w:val="000000"/>
        </w:rPr>
        <w:t xml:space="preserve">After </w:t>
      </w:r>
      <w:r w:rsidRPr="007B2920">
        <w:rPr>
          <w:lang w:val="en"/>
        </w:rPr>
        <w:t>additional</w:t>
      </w:r>
      <w:r w:rsidRPr="007B2920">
        <w:rPr>
          <w:color w:val="000000"/>
        </w:rPr>
        <w:t xml:space="preserve"> negotiations regarding the terms of their agreement, the Parties entered into the </w:t>
      </w:r>
      <w:r w:rsidRPr="007B2920">
        <w:t>Stipulation</w:t>
      </w:r>
      <w:r w:rsidRPr="007B2920">
        <w:rPr>
          <w:color w:val="000000"/>
        </w:rPr>
        <w:t xml:space="preserve"> on </w:t>
      </w:r>
      <w:r w:rsidR="00AE6498" w:rsidRPr="007B2920">
        <w:rPr>
          <w:color w:val="000000"/>
          <w:lang w:val="en-US"/>
        </w:rPr>
        <w:t xml:space="preserve">November </w:t>
      </w:r>
      <w:r w:rsidR="006A571A" w:rsidRPr="007B2920">
        <w:rPr>
          <w:color w:val="000000"/>
          <w:lang w:val="en-US"/>
        </w:rPr>
        <w:t>22</w:t>
      </w:r>
      <w:r w:rsidR="00AE6498" w:rsidRPr="007B2920">
        <w:rPr>
          <w:color w:val="000000"/>
          <w:lang w:val="en-US"/>
        </w:rPr>
        <w:t>, 2024</w:t>
      </w:r>
      <w:r w:rsidRPr="007B2920">
        <w:rPr>
          <w:color w:val="000000"/>
        </w:rPr>
        <w:t xml:space="preserve">. The Stipulation, which sets forth the </w:t>
      </w:r>
      <w:r w:rsidR="00ED3F26" w:rsidRPr="007B2920">
        <w:rPr>
          <w:color w:val="000000"/>
          <w:lang w:val="en-US"/>
        </w:rPr>
        <w:t xml:space="preserve">full </w:t>
      </w:r>
      <w:r w:rsidRPr="007B2920">
        <w:rPr>
          <w:color w:val="000000"/>
        </w:rPr>
        <w:t>terms and conditions of the Settlement,</w:t>
      </w:r>
      <w:bookmarkStart w:id="6" w:name="_Hlk24625360"/>
      <w:r w:rsidRPr="007B2920">
        <w:rPr>
          <w:color w:val="000000"/>
        </w:rPr>
        <w:t xml:space="preserve"> can be viewe</w:t>
      </w:r>
      <w:r w:rsidRPr="007B2920">
        <w:t xml:space="preserve">d at </w:t>
      </w:r>
      <w:hyperlink r:id="rId10" w:history="1">
        <w:r w:rsidR="00AE6498" w:rsidRPr="007B2920">
          <w:rPr>
            <w:rStyle w:val="Hyperlink"/>
            <w:color w:val="auto"/>
            <w:lang w:val="en-US"/>
          </w:rPr>
          <w:t>www.GeneralElectricSecuritiesLitigation.com</w:t>
        </w:r>
      </w:hyperlink>
      <w:bookmarkEnd w:id="6"/>
      <w:r w:rsidRPr="007B2920">
        <w:t>.</w:t>
      </w:r>
    </w:p>
    <w:p w14:paraId="723B82F6" w14:textId="54A3B282" w:rsidR="00A741DC" w:rsidRPr="007B2920" w:rsidRDefault="00670596" w:rsidP="00292F31">
      <w:pPr>
        <w:pStyle w:val="Heading1"/>
        <w:tabs>
          <w:tab w:val="clear" w:pos="2160"/>
          <w:tab w:val="num" w:pos="1440"/>
        </w:tabs>
        <w:spacing w:before="120"/>
        <w:ind w:left="0"/>
      </w:pPr>
      <w:r w:rsidRPr="007B2920">
        <w:t xml:space="preserve">On </w:t>
      </w:r>
      <w:r w:rsidR="002A4F8F" w:rsidRPr="007B2920">
        <w:t>January 14,</w:t>
      </w:r>
      <w:r w:rsidR="00AE6498" w:rsidRPr="007B2920">
        <w:rPr>
          <w:lang w:val="en-US"/>
        </w:rPr>
        <w:t xml:space="preserve"> 202</w:t>
      </w:r>
      <w:r w:rsidR="002A4F8F" w:rsidRPr="007B2920">
        <w:rPr>
          <w:lang w:val="en-US"/>
        </w:rPr>
        <w:t>5</w:t>
      </w:r>
      <w:r w:rsidRPr="007B2920">
        <w:t>, the Court preliminarily approved the Settlement, authorized notice of the Settlement to be provided to potential Class Members, and scheduled the Settlement Hearing to consider whether to grant final approval of the Settlement.</w:t>
      </w:r>
      <w:r w:rsidRPr="007B2920">
        <w:rPr>
          <w:lang w:val="en-US"/>
        </w:rPr>
        <w:t xml:space="preserve"> </w:t>
      </w:r>
    </w:p>
    <w:tbl>
      <w:tblPr>
        <w:tblW w:w="9495" w:type="dxa"/>
        <w:jc w:val="center"/>
        <w:tblBorders>
          <w:top w:val="single" w:sz="4" w:space="0" w:color="auto"/>
          <w:left w:val="single" w:sz="4" w:space="0" w:color="auto"/>
          <w:bottom w:val="single" w:sz="4" w:space="0" w:color="auto"/>
          <w:right w:val="single" w:sz="4" w:space="0" w:color="auto"/>
        </w:tblBorders>
        <w:shd w:val="clear" w:color="auto" w:fill="E0E0E0"/>
        <w:tblLook w:val="01E0" w:firstRow="1" w:lastRow="1" w:firstColumn="1" w:lastColumn="1" w:noHBand="0" w:noVBand="0"/>
      </w:tblPr>
      <w:tblGrid>
        <w:gridCol w:w="9495"/>
      </w:tblGrid>
      <w:tr w:rsidR="00C208DC" w:rsidRPr="007B2920" w14:paraId="29498B3E" w14:textId="77777777" w:rsidTr="004C7C92">
        <w:trPr>
          <w:cantSplit/>
          <w:jc w:val="center"/>
        </w:trPr>
        <w:tc>
          <w:tcPr>
            <w:tcW w:w="9495" w:type="dxa"/>
            <w:shd w:val="clear" w:color="auto" w:fill="E0E0E0"/>
          </w:tcPr>
          <w:p w14:paraId="7D5B0E89" w14:textId="77777777" w:rsidR="000E2317" w:rsidRPr="007B2920" w:rsidRDefault="00670596" w:rsidP="007B69E0">
            <w:pPr>
              <w:keepNext/>
              <w:tabs>
                <w:tab w:val="left" w:pos="-180"/>
              </w:tabs>
              <w:spacing w:before="60" w:after="60"/>
              <w:jc w:val="center"/>
              <w:rPr>
                <w:b/>
              </w:rPr>
            </w:pPr>
            <w:r w:rsidRPr="007B2920">
              <w:rPr>
                <w:b/>
              </w:rPr>
              <w:t>WHY IS THIS CASE A CLASS ACTION?</w:t>
            </w:r>
          </w:p>
        </w:tc>
      </w:tr>
    </w:tbl>
    <w:p w14:paraId="056F8B8A" w14:textId="362AC2AE" w:rsidR="000E2317" w:rsidRDefault="00670596" w:rsidP="00292F31">
      <w:pPr>
        <w:pStyle w:val="Heading1"/>
        <w:tabs>
          <w:tab w:val="clear" w:pos="2160"/>
        </w:tabs>
        <w:spacing w:before="120"/>
        <w:ind w:left="0"/>
      </w:pPr>
      <w:r w:rsidRPr="007B2920">
        <w:t xml:space="preserve">In a class action, one or more persons or entities (in this case, </w:t>
      </w:r>
      <w:r w:rsidR="00AE6498" w:rsidRPr="007B2920">
        <w:rPr>
          <w:lang w:val="en-US"/>
        </w:rPr>
        <w:t>Class Representatives</w:t>
      </w:r>
      <w:r w:rsidRPr="007B2920">
        <w:t>) sue on behalf of persons and entities that have similar claims. Together, these persons and entities are a “class,” and each is a “class member.” Bringing a case, such as this one, as a class action allows the adjudication of many individuals’ similar claims that might be too small to bring economically as separate actions. One court resolves the issues for all class members at the same time, except for those who exclude themselves, or “opt out,” from the class.</w:t>
      </w:r>
    </w:p>
    <w:tbl>
      <w:tblPr>
        <w:tblW w:w="9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428"/>
      </w:tblGrid>
      <w:tr w:rsidR="00C208DC" w:rsidRPr="007B2920" w14:paraId="27DA054C" w14:textId="77777777">
        <w:trPr>
          <w:cantSplit/>
          <w:jc w:val="center"/>
        </w:trPr>
        <w:tc>
          <w:tcPr>
            <w:tcW w:w="9428" w:type="dxa"/>
            <w:shd w:val="clear" w:color="auto" w:fill="E0E0E0"/>
          </w:tcPr>
          <w:p w14:paraId="310F025A" w14:textId="4E8E3FEE" w:rsidR="008B1B77" w:rsidRPr="007B2920" w:rsidRDefault="00670596" w:rsidP="007B2920">
            <w:pPr>
              <w:keepNext/>
              <w:tabs>
                <w:tab w:val="left" w:pos="-180"/>
              </w:tabs>
              <w:spacing w:before="120" w:after="120"/>
              <w:jc w:val="center"/>
              <w:rPr>
                <w:b/>
              </w:rPr>
            </w:pPr>
            <w:r w:rsidRPr="007B2920">
              <w:rPr>
                <w:b/>
              </w:rPr>
              <w:t>HOW DO I KNOW IF I AM AFFECTED BY THE SETTLEMENT?</w:t>
            </w:r>
            <w:r w:rsidRPr="007B2920">
              <w:rPr>
                <w:b/>
              </w:rPr>
              <w:br/>
              <w:t>WHO IS INCLUDED IN THE</w:t>
            </w:r>
            <w:r w:rsidR="00296EB2" w:rsidRPr="007B2920">
              <w:rPr>
                <w:b/>
              </w:rPr>
              <w:t xml:space="preserve"> </w:t>
            </w:r>
            <w:r w:rsidRPr="007B2920">
              <w:rPr>
                <w:b/>
              </w:rPr>
              <w:t>CLASS?</w:t>
            </w:r>
          </w:p>
        </w:tc>
      </w:tr>
    </w:tbl>
    <w:p w14:paraId="3D6043C2" w14:textId="236CD601" w:rsidR="00AE6498" w:rsidRPr="007B2920" w:rsidRDefault="00670596" w:rsidP="007B69E0">
      <w:pPr>
        <w:pStyle w:val="Heading1"/>
        <w:tabs>
          <w:tab w:val="clear" w:pos="2160"/>
        </w:tabs>
        <w:spacing w:before="60" w:after="60"/>
        <w:ind w:left="0"/>
      </w:pPr>
      <w:r w:rsidRPr="007B2920">
        <w:t xml:space="preserve">If you are a member of the Class, you are subject to the Settlement unless you are excluded from the Class as set forth below. The Class </w:t>
      </w:r>
      <w:r w:rsidRPr="007B2920">
        <w:rPr>
          <w:lang w:val="en-US"/>
        </w:rPr>
        <w:t xml:space="preserve">certified by the Court pursuant to Opinion and Order dated April 11, 2022 </w:t>
      </w:r>
      <w:r w:rsidRPr="007B2920">
        <w:t>consists of:</w:t>
      </w:r>
    </w:p>
    <w:p w14:paraId="58F2A18C" w14:textId="0EAD46AC" w:rsidR="00AE6498" w:rsidRPr="007B2920" w:rsidRDefault="00670596" w:rsidP="007B2920">
      <w:pPr>
        <w:pStyle w:val="Heading1"/>
        <w:numPr>
          <w:ilvl w:val="0"/>
          <w:numId w:val="0"/>
        </w:numPr>
        <w:spacing w:after="0"/>
        <w:ind w:left="720" w:right="634"/>
        <w:rPr>
          <w:b/>
        </w:rPr>
      </w:pPr>
      <w:r w:rsidRPr="007B2920">
        <w:rPr>
          <w:b/>
          <w:color w:val="000000"/>
        </w:rPr>
        <w:t xml:space="preserve">All persons </w:t>
      </w:r>
      <w:r w:rsidRPr="007B2920">
        <w:rPr>
          <w:b/>
          <w:color w:val="000000"/>
          <w:lang w:val="en-US"/>
        </w:rPr>
        <w:t>or</w:t>
      </w:r>
      <w:r w:rsidRPr="007B2920">
        <w:rPr>
          <w:b/>
          <w:color w:val="000000"/>
        </w:rPr>
        <w:t xml:space="preserve"> entities who purchased or acquired </w:t>
      </w:r>
      <w:r w:rsidRPr="007B2920">
        <w:rPr>
          <w:b/>
          <w:lang w:val="en-US"/>
        </w:rPr>
        <w:t>GE</w:t>
      </w:r>
      <w:r w:rsidRPr="007B2920">
        <w:rPr>
          <w:b/>
        </w:rPr>
        <w:t xml:space="preserve"> common stock </w:t>
      </w:r>
      <w:r w:rsidRPr="007B2920">
        <w:rPr>
          <w:b/>
          <w:lang w:val="en-US"/>
        </w:rPr>
        <w:t xml:space="preserve">between February 29, 2016 and January 23, 2018, </w:t>
      </w:r>
      <w:r w:rsidRPr="007B2920">
        <w:rPr>
          <w:b/>
        </w:rPr>
        <w:t>inclusive and were damaged thereby.</w:t>
      </w:r>
    </w:p>
    <w:p w14:paraId="65610483" w14:textId="3B5B7AD0" w:rsidR="00AE6498" w:rsidRPr="007B2920" w:rsidRDefault="00670596" w:rsidP="003751CA">
      <w:pPr>
        <w:spacing w:before="120" w:after="120"/>
        <w:jc w:val="both"/>
        <w:rPr>
          <w:color w:val="000000"/>
        </w:rPr>
      </w:pPr>
      <w:r w:rsidRPr="007B2920">
        <w:rPr>
          <w:color w:val="000000"/>
        </w:rPr>
        <w:t>Excluded from the Class are</w:t>
      </w:r>
      <w:r w:rsidRPr="007B2920">
        <w:t>: (a) Defendants; (b) GE’s subsidiaries and affiliates; (c) any officer, director, or controlling person of GE, and members of the Immediate Families of such persons; (d)</w:t>
      </w:r>
      <w:r w:rsidR="00B214F8">
        <w:t> </w:t>
      </w:r>
      <w:r w:rsidRPr="007B2920">
        <w:t xml:space="preserve">any entity in which any Defendant has a controlling interest; (e) Defendants’ directors’ and officers’ liability insurance carriers, and any affiliates or subsidiaries thereof; and (f) the legal representatives, heirs, successors, and assigns of any such excluded party. </w:t>
      </w:r>
      <w:r w:rsidRPr="007B2920">
        <w:rPr>
          <w:color w:val="000000"/>
        </w:rPr>
        <w:t>Also excluded from the Class are any persons and</w:t>
      </w:r>
      <w:r w:rsidRPr="007B2920">
        <w:t xml:space="preserve"> </w:t>
      </w:r>
      <w:r w:rsidRPr="007B2920">
        <w:rPr>
          <w:color w:val="000000"/>
        </w:rPr>
        <w:t xml:space="preserve">entities that submitted a request for exclusion in connection with Class </w:t>
      </w:r>
      <w:r w:rsidRPr="007B2920">
        <w:rPr>
          <w:color w:val="000000"/>
        </w:rPr>
        <w:lastRenderedPageBreak/>
        <w:t>Notice as set</w:t>
      </w:r>
      <w:r w:rsidRPr="007B2920">
        <w:t xml:space="preserve"> </w:t>
      </w:r>
      <w:r w:rsidRPr="007B2920">
        <w:rPr>
          <w:color w:val="000000"/>
        </w:rPr>
        <w:t>forth on Appendix 1 to the Stipulation that do not opt back into the Class in accordance with the instructions set forth herein (</w:t>
      </w:r>
      <w:r w:rsidRPr="007B2920">
        <w:rPr>
          <w:i/>
          <w:iCs/>
          <w:color w:val="000000"/>
        </w:rPr>
        <w:t xml:space="preserve">see </w:t>
      </w:r>
      <w:r w:rsidRPr="007B2920">
        <w:rPr>
          <w:color w:val="000000"/>
        </w:rPr>
        <w:t xml:space="preserve">¶ </w:t>
      </w:r>
      <w:r w:rsidR="00F42DE6" w:rsidRPr="007B2920">
        <w:rPr>
          <w:color w:val="000000"/>
        </w:rPr>
        <w:t>66</w:t>
      </w:r>
      <w:r w:rsidRPr="007B2920">
        <w:rPr>
          <w:color w:val="000000"/>
        </w:rPr>
        <w:t xml:space="preserve"> below).</w:t>
      </w:r>
    </w:p>
    <w:p w14:paraId="7039BF05" w14:textId="369B8B32" w:rsidR="00431523" w:rsidRPr="007B2920" w:rsidRDefault="00670596" w:rsidP="00292F31">
      <w:pPr>
        <w:pStyle w:val="Heading1"/>
        <w:numPr>
          <w:ilvl w:val="0"/>
          <w:numId w:val="0"/>
        </w:numPr>
        <w:spacing w:before="120"/>
        <w:rPr>
          <w:b/>
          <w:lang w:val="en-US"/>
        </w:rPr>
      </w:pPr>
      <w:r w:rsidRPr="007B2920">
        <w:rPr>
          <w:b/>
        </w:rPr>
        <w:t xml:space="preserve">PLEASE NOTE: Receipt of this Notice or the Postcard Notice does not mean that you are a Class Member or that you will be entitled to a payment from the Settlement. If you are a Class Member and you wish to be eligible to receive a payment from the Settlement, you are required to submit a Claim Form and the required supporting documentation as set forth in the Claim Form postmarked (if mailed), or online </w:t>
      </w:r>
      <w:r w:rsidR="00AE6498" w:rsidRPr="007B2920">
        <w:rPr>
          <w:b/>
          <w:lang w:val="en-US"/>
        </w:rPr>
        <w:t xml:space="preserve">via the case website, </w:t>
      </w:r>
      <w:r w:rsidRPr="007B2920">
        <w:rPr>
          <w:b/>
          <w:u w:val="single"/>
        </w:rPr>
        <w:t>www.</w:t>
      </w:r>
      <w:r w:rsidR="00AE6498" w:rsidRPr="007B2920">
        <w:rPr>
          <w:b/>
          <w:u w:val="single"/>
          <w:lang w:val="en-US"/>
        </w:rPr>
        <w:t>GeneralElectric</w:t>
      </w:r>
      <w:r w:rsidRPr="007B2920">
        <w:rPr>
          <w:b/>
          <w:u w:val="single"/>
          <w:lang w:val="en-US"/>
        </w:rPr>
        <w:t>SecuritiesLitigation</w:t>
      </w:r>
      <w:r w:rsidRPr="007B2920">
        <w:rPr>
          <w:b/>
          <w:u w:val="single"/>
        </w:rPr>
        <w:t>.com</w:t>
      </w:r>
      <w:r w:rsidRPr="007B2920">
        <w:rPr>
          <w:b/>
        </w:rPr>
        <w:t>, no later than</w:t>
      </w:r>
      <w:r w:rsidR="009949CD">
        <w:rPr>
          <w:b/>
        </w:rPr>
        <w:t xml:space="preserve"> June 20</w:t>
      </w:r>
      <w:r w:rsidRPr="007B2920">
        <w:rPr>
          <w:b/>
        </w:rPr>
        <w:t>, 202</w:t>
      </w:r>
      <w:r w:rsidR="00AE6498" w:rsidRPr="007B2920">
        <w:rPr>
          <w:b/>
          <w:lang w:val="en-US"/>
        </w:rPr>
        <w:t>5.</w:t>
      </w:r>
    </w:p>
    <w:tbl>
      <w:tblPr>
        <w:tblW w:w="9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473"/>
      </w:tblGrid>
      <w:tr w:rsidR="00C208DC" w:rsidRPr="007B2920" w14:paraId="5B87A9E3" w14:textId="77777777">
        <w:trPr>
          <w:jc w:val="center"/>
        </w:trPr>
        <w:tc>
          <w:tcPr>
            <w:tcW w:w="9473" w:type="dxa"/>
            <w:shd w:val="clear" w:color="auto" w:fill="E0E0E0"/>
          </w:tcPr>
          <w:p w14:paraId="13FC925D" w14:textId="56EC44E1" w:rsidR="008B1B77" w:rsidRPr="007B2920" w:rsidRDefault="00670596" w:rsidP="007B69E0">
            <w:pPr>
              <w:keepNext/>
              <w:tabs>
                <w:tab w:val="left" w:pos="-180"/>
              </w:tabs>
              <w:spacing w:before="60" w:after="60"/>
              <w:jc w:val="center"/>
              <w:rPr>
                <w:b/>
              </w:rPr>
            </w:pPr>
            <w:r w:rsidRPr="007B2920">
              <w:rPr>
                <w:b/>
              </w:rPr>
              <w:t xml:space="preserve">WHAT ARE </w:t>
            </w:r>
            <w:r w:rsidR="00AE6498" w:rsidRPr="007B2920">
              <w:rPr>
                <w:b/>
              </w:rPr>
              <w:t>CLASS REPRESENTATIVES</w:t>
            </w:r>
            <w:r w:rsidR="00431523" w:rsidRPr="007B2920">
              <w:rPr>
                <w:b/>
              </w:rPr>
              <w:t>’</w:t>
            </w:r>
            <w:r w:rsidRPr="007B2920">
              <w:rPr>
                <w:b/>
              </w:rPr>
              <w:t xml:space="preserve"> REASONS FOR THE SETTLEMENT? </w:t>
            </w:r>
          </w:p>
        </w:tc>
      </w:tr>
    </w:tbl>
    <w:p w14:paraId="18159038" w14:textId="3F834472" w:rsidR="00BE4320" w:rsidRDefault="00670596" w:rsidP="003751CA">
      <w:pPr>
        <w:pStyle w:val="Heading1"/>
        <w:tabs>
          <w:tab w:val="clear" w:pos="2160"/>
        </w:tabs>
        <w:spacing w:before="120" w:after="120"/>
        <w:ind w:left="0"/>
        <w:rPr>
          <w:color w:val="000000"/>
        </w:rPr>
      </w:pPr>
      <w:r w:rsidRPr="007B2920">
        <w:rPr>
          <w:color w:val="000000"/>
        </w:rPr>
        <w:t xml:space="preserve">The Settlement is the result of </w:t>
      </w:r>
      <w:r w:rsidRPr="007B2920">
        <w:rPr>
          <w:color w:val="000000"/>
          <w:lang w:val="en-US"/>
        </w:rPr>
        <w:t>nearly seven</w:t>
      </w:r>
      <w:r w:rsidRPr="007B2920">
        <w:rPr>
          <w:color w:val="000000"/>
        </w:rPr>
        <w:t xml:space="preserve"> years of hard-fought litigation and extensive, arm’s-length negotiations by the Parties and was reached just before a trial of the Action was set to commence. Class Representatives believe that the claims asserted against Defendants have merit; however, they recognized the substantial risks they faced in successfully obtaining a favorable verdict for the Class at trial and through the likely appeals that would follow.</w:t>
      </w:r>
    </w:p>
    <w:p w14:paraId="0CDE9594" w14:textId="6AF4BBF9" w:rsidR="00D024A8" w:rsidRDefault="00670596" w:rsidP="003751CA">
      <w:pPr>
        <w:pStyle w:val="Heading1"/>
        <w:tabs>
          <w:tab w:val="clear" w:pos="2160"/>
        </w:tabs>
        <w:spacing w:before="120" w:after="120"/>
        <w:ind w:left="0"/>
        <w:rPr>
          <w:color w:val="000000"/>
        </w:rPr>
      </w:pPr>
      <w:r w:rsidRPr="007B2920">
        <w:rPr>
          <w:color w:val="000000"/>
        </w:rPr>
        <w:t>In particular, Class Representatives recognized that Defendants had significant defenses to their claims</w:t>
      </w:r>
      <w:r w:rsidRPr="007B2920">
        <w:rPr>
          <w:color w:val="000000"/>
          <w:lang w:val="en-US"/>
        </w:rPr>
        <w:t xml:space="preserve"> which they would continue to aggressively assert at trial</w:t>
      </w:r>
      <w:r w:rsidRPr="007B2920">
        <w:rPr>
          <w:color w:val="000000"/>
        </w:rPr>
        <w:t xml:space="preserve">. </w:t>
      </w:r>
      <w:r w:rsidRPr="007B2920">
        <w:rPr>
          <w:color w:val="000000"/>
          <w:lang w:val="en-US"/>
        </w:rPr>
        <w:t xml:space="preserve">For example, </w:t>
      </w:r>
      <w:r w:rsidRPr="007B2920">
        <w:rPr>
          <w:color w:val="000000"/>
        </w:rPr>
        <w:t xml:space="preserve">Defendants asserted that the statements at issue in the Action were not false at the time they were </w:t>
      </w:r>
      <w:proofErr w:type="gramStart"/>
      <w:r w:rsidRPr="007B2920">
        <w:rPr>
          <w:color w:val="000000"/>
        </w:rPr>
        <w:t>made</w:t>
      </w:r>
      <w:proofErr w:type="gramEnd"/>
      <w:r w:rsidRPr="007B2920">
        <w:rPr>
          <w:color w:val="000000"/>
        </w:rPr>
        <w:t xml:space="preserve"> and that Class Representatives would be unable to establish that Defendants did not legitimately believe the truth of such statements. Relatedly, Defendants contended that they did not act with the required intent, or “scienter.” Class Representatives also faced challenges with respect to establishing that the stock price decline was attributable to the alleged false statements sustained by the Court</w:t>
      </w:r>
      <w:r w:rsidRPr="007B2920">
        <w:rPr>
          <w:color w:val="000000"/>
          <w:lang w:val="en-US"/>
        </w:rPr>
        <w:t xml:space="preserve"> and not caused by other industry factors (i.e., market downturn)</w:t>
      </w:r>
      <w:r w:rsidRPr="007B2920">
        <w:rPr>
          <w:color w:val="000000"/>
        </w:rPr>
        <w:t xml:space="preserve">, and thus the actual damages a jury might award. </w:t>
      </w:r>
    </w:p>
    <w:p w14:paraId="1B2FAFA1" w14:textId="0F503E9E" w:rsidR="00BE4320" w:rsidRDefault="00670596" w:rsidP="003751CA">
      <w:pPr>
        <w:pStyle w:val="Heading1"/>
        <w:tabs>
          <w:tab w:val="clear" w:pos="2160"/>
        </w:tabs>
        <w:spacing w:before="120" w:after="120"/>
        <w:ind w:left="0"/>
        <w:rPr>
          <w:color w:val="000000"/>
        </w:rPr>
      </w:pPr>
      <w:r w:rsidRPr="007B2920">
        <w:rPr>
          <w:color w:val="000000"/>
          <w:lang w:val="en-US"/>
        </w:rPr>
        <w:t>Moreover, t</w:t>
      </w:r>
      <w:r w:rsidR="00D024A8" w:rsidRPr="007B2920">
        <w:rPr>
          <w:color w:val="000000"/>
          <w:lang w:val="en-US"/>
        </w:rPr>
        <w:t xml:space="preserve">aking a case such as this one to trial would be challenging. Here, the theory of this case was extremely </w:t>
      </w:r>
      <w:proofErr w:type="gramStart"/>
      <w:r w:rsidR="00D024A8" w:rsidRPr="007B2920">
        <w:rPr>
          <w:color w:val="000000"/>
          <w:lang w:val="en-US"/>
        </w:rPr>
        <w:t>complicated</w:t>
      </w:r>
      <w:proofErr w:type="gramEnd"/>
      <w:r w:rsidR="00D024A8" w:rsidRPr="007B2920">
        <w:rPr>
          <w:color w:val="000000"/>
          <w:lang w:val="en-US"/>
        </w:rPr>
        <w:t xml:space="preserve"> and it would have been challenging to present a simple story to a jury. Further, the </w:t>
      </w:r>
      <w:r w:rsidR="00630657" w:rsidRPr="007B2920">
        <w:rPr>
          <w:color w:val="000000"/>
          <w:lang w:val="en-US"/>
        </w:rPr>
        <w:t xml:space="preserve">case involved GE’s </w:t>
      </w:r>
      <w:r w:rsidR="00D024A8" w:rsidRPr="007B2920">
        <w:rPr>
          <w:color w:val="000000"/>
          <w:lang w:val="en-US"/>
        </w:rPr>
        <w:t xml:space="preserve">factoring </w:t>
      </w:r>
      <w:r w:rsidR="00630657" w:rsidRPr="007B2920">
        <w:rPr>
          <w:color w:val="000000"/>
          <w:lang w:val="en-US"/>
        </w:rPr>
        <w:t xml:space="preserve">of long-term receivables. Factoring generally </w:t>
      </w:r>
      <w:r w:rsidR="00D024A8" w:rsidRPr="007B2920">
        <w:rPr>
          <w:color w:val="000000"/>
          <w:lang w:val="en-US"/>
        </w:rPr>
        <w:t xml:space="preserve">is a legitimate business practice used by many companies and there was a real risk that jurors would focus on the </w:t>
      </w:r>
      <w:r w:rsidR="00630657" w:rsidRPr="007B2920">
        <w:rPr>
          <w:color w:val="000000"/>
          <w:lang w:val="en-US"/>
        </w:rPr>
        <w:t>common use</w:t>
      </w:r>
      <w:r w:rsidR="00D024A8" w:rsidRPr="007B2920">
        <w:rPr>
          <w:color w:val="000000"/>
          <w:lang w:val="en-US"/>
        </w:rPr>
        <w:t xml:space="preserve"> of </w:t>
      </w:r>
      <w:r w:rsidR="00630657" w:rsidRPr="007B2920">
        <w:rPr>
          <w:color w:val="000000"/>
          <w:lang w:val="en-US"/>
        </w:rPr>
        <w:t>factoring</w:t>
      </w:r>
      <w:r w:rsidR="00D024A8" w:rsidRPr="007B2920">
        <w:rPr>
          <w:color w:val="000000"/>
          <w:lang w:val="en-US"/>
        </w:rPr>
        <w:t xml:space="preserve"> instead of the </w:t>
      </w:r>
      <w:r w:rsidR="00630657" w:rsidRPr="007B2920">
        <w:rPr>
          <w:color w:val="000000"/>
          <w:lang w:val="en-US"/>
        </w:rPr>
        <w:t xml:space="preserve">specific ways in which GE was factoring and the </w:t>
      </w:r>
      <w:r w:rsidR="00D024A8" w:rsidRPr="007B2920">
        <w:rPr>
          <w:color w:val="000000"/>
          <w:lang w:val="en-US"/>
        </w:rPr>
        <w:t>accuracy of GE’s disclosures</w:t>
      </w:r>
      <w:r w:rsidRPr="007B2920">
        <w:rPr>
          <w:color w:val="000000"/>
          <w:lang w:val="en-US"/>
        </w:rPr>
        <w:t>.</w:t>
      </w:r>
      <w:r w:rsidRPr="007B2920">
        <w:rPr>
          <w:lang w:val="en-US"/>
        </w:rPr>
        <w:t xml:space="preserve"> </w:t>
      </w:r>
      <w:r w:rsidRPr="007B2920">
        <w:rPr>
          <w:color w:val="000000"/>
        </w:rPr>
        <w:t xml:space="preserve">Had the jury accepted any of Defendants’ arguments or viewed the facts in favor of Defendants in whole or in part, Class Representatives’ ability to obtain a recovery for the Class could have been reduced or eliminated. Further, even if completely or partly successful at trial, Class Representatives would still have to prevail on the appeals that would likely follow. Thus, there were significant risks attendant to the continued prosecution of the Action, including the risk of zero recovery. </w:t>
      </w:r>
    </w:p>
    <w:p w14:paraId="46129A76" w14:textId="147EE2C2" w:rsidR="00BE4320" w:rsidRPr="00865662" w:rsidRDefault="00670596" w:rsidP="003751CA">
      <w:pPr>
        <w:pStyle w:val="Heading1"/>
        <w:tabs>
          <w:tab w:val="clear" w:pos="2160"/>
        </w:tabs>
        <w:spacing w:before="120" w:after="120"/>
        <w:ind w:left="0"/>
        <w:rPr>
          <w:color w:val="000000"/>
          <w:spacing w:val="-4"/>
        </w:rPr>
      </w:pPr>
      <w:r w:rsidRPr="00865662">
        <w:rPr>
          <w:color w:val="000000"/>
          <w:spacing w:val="-4"/>
        </w:rPr>
        <w:t>In light of these risks, the Settlement</w:t>
      </w:r>
      <w:r w:rsidR="004006C7" w:rsidRPr="00865662">
        <w:rPr>
          <w:color w:val="000000"/>
          <w:spacing w:val="-4"/>
          <w:lang w:val="en-US"/>
        </w:rPr>
        <w:t xml:space="preserve"> Amount</w:t>
      </w:r>
      <w:r w:rsidRPr="00865662">
        <w:rPr>
          <w:color w:val="000000"/>
          <w:spacing w:val="-4"/>
        </w:rPr>
        <w:t xml:space="preserve">, and </w:t>
      </w:r>
      <w:r w:rsidR="008A4F8E" w:rsidRPr="00865662">
        <w:rPr>
          <w:color w:val="000000"/>
          <w:spacing w:val="-4"/>
          <w:lang w:val="en-US"/>
        </w:rPr>
        <w:t>the near-term</w:t>
      </w:r>
      <w:r w:rsidRPr="00865662">
        <w:rPr>
          <w:color w:val="000000"/>
          <w:spacing w:val="-4"/>
        </w:rPr>
        <w:t xml:space="preserve"> recovery to the Class, Class Representatives and Class Counsel believe that the proposed Settlement is fair, reasonable, and adequate, and in the best interests of the Class. Class Representatives and Class Counsel believe that the Settlement provides a favorable result for the Class, namely $</w:t>
      </w:r>
      <w:r w:rsidRPr="00865662">
        <w:rPr>
          <w:color w:val="000000"/>
          <w:spacing w:val="-4"/>
          <w:lang w:val="en-US"/>
        </w:rPr>
        <w:t>362</w:t>
      </w:r>
      <w:r w:rsidRPr="00865662">
        <w:rPr>
          <w:color w:val="000000"/>
          <w:spacing w:val="-4"/>
        </w:rPr>
        <w:t>,</w:t>
      </w:r>
      <w:r w:rsidRPr="00865662">
        <w:rPr>
          <w:color w:val="000000"/>
          <w:spacing w:val="-4"/>
          <w:lang w:val="en-US"/>
        </w:rPr>
        <w:t>5</w:t>
      </w:r>
      <w:r w:rsidRPr="00865662">
        <w:rPr>
          <w:color w:val="000000"/>
          <w:spacing w:val="-4"/>
        </w:rPr>
        <w:t xml:space="preserve">00,000 in cash (less the various deductions described in this Notice), as compared to the risk that the claims in the Action would produce a smaller, or no, recovery after trial, and appeals, possibly years in the future. </w:t>
      </w:r>
    </w:p>
    <w:p w14:paraId="196AF8D8" w14:textId="2DB3FD02" w:rsidR="00BE4320" w:rsidRPr="007B2920" w:rsidRDefault="00670596" w:rsidP="00292F31">
      <w:pPr>
        <w:pStyle w:val="Heading1"/>
        <w:tabs>
          <w:tab w:val="clear" w:pos="2160"/>
        </w:tabs>
        <w:spacing w:before="120"/>
        <w:ind w:left="0"/>
      </w:pPr>
      <w:r w:rsidRPr="007B2920">
        <w:rPr>
          <w:color w:val="000000"/>
        </w:rPr>
        <w:t xml:space="preserve">Defendants have denied the claims asserted against them in the Action and deny having engaged in any wrongdoing or violation of law of any kind whatsoever. Defendants have agreed to the Settlement to eliminate the burden and expense of continued litigation, and the </w:t>
      </w:r>
      <w:r w:rsidRPr="007B2920">
        <w:rPr>
          <w:color w:val="000000"/>
        </w:rPr>
        <w:lastRenderedPageBreak/>
        <w:t>Settlement may not be construed as an admission of any wrongdoing by Defendants in this or any other action or proceeding.</w:t>
      </w:r>
    </w:p>
    <w:tbl>
      <w:tblPr>
        <w:tblW w:w="9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529"/>
      </w:tblGrid>
      <w:tr w:rsidR="00C208DC" w:rsidRPr="007B2920" w14:paraId="1EEB9C38" w14:textId="77777777">
        <w:trPr>
          <w:jc w:val="center"/>
        </w:trPr>
        <w:tc>
          <w:tcPr>
            <w:tcW w:w="9529" w:type="dxa"/>
            <w:shd w:val="clear" w:color="auto" w:fill="E0E0E0"/>
          </w:tcPr>
          <w:p w14:paraId="224DD4DB" w14:textId="77777777" w:rsidR="008B1B77" w:rsidRPr="007B2920" w:rsidRDefault="00670596" w:rsidP="007B69E0">
            <w:pPr>
              <w:keepNext/>
              <w:tabs>
                <w:tab w:val="left" w:pos="-180"/>
              </w:tabs>
              <w:spacing w:before="60" w:after="60"/>
              <w:jc w:val="center"/>
              <w:rPr>
                <w:b/>
              </w:rPr>
            </w:pPr>
            <w:r w:rsidRPr="007B2920">
              <w:rPr>
                <w:b/>
              </w:rPr>
              <w:t>WHAT MIGHT HAPPEN IF THERE WERE NO SETTLEMENT?</w:t>
            </w:r>
          </w:p>
        </w:tc>
      </w:tr>
    </w:tbl>
    <w:p w14:paraId="320FADF4" w14:textId="1B7A4C5D" w:rsidR="008B1B77" w:rsidRPr="007B2920" w:rsidRDefault="00670596" w:rsidP="00292F31">
      <w:pPr>
        <w:pStyle w:val="Heading1"/>
        <w:tabs>
          <w:tab w:val="clear" w:pos="2160"/>
        </w:tabs>
        <w:spacing w:before="120"/>
        <w:ind w:left="0"/>
      </w:pPr>
      <w:r w:rsidRPr="007B2920">
        <w:t xml:space="preserve">If there were no Settlement and </w:t>
      </w:r>
      <w:r w:rsidR="00684776" w:rsidRPr="007B2920">
        <w:rPr>
          <w:lang w:val="en-US"/>
        </w:rPr>
        <w:t>Class Representatives</w:t>
      </w:r>
      <w:r w:rsidRPr="007B2920">
        <w:rPr>
          <w:lang w:val="en-US"/>
        </w:rPr>
        <w:t xml:space="preserve"> failed</w:t>
      </w:r>
      <w:r w:rsidRPr="007B2920">
        <w:t xml:space="preserve"> to establish any essential element of </w:t>
      </w:r>
      <w:r w:rsidR="00FB74CE" w:rsidRPr="007B2920">
        <w:rPr>
          <w:lang w:val="en-US"/>
        </w:rPr>
        <w:t>their</w:t>
      </w:r>
      <w:r w:rsidRPr="007B2920">
        <w:t xml:space="preserve"> claims against Defendants</w:t>
      </w:r>
      <w:r w:rsidRPr="007B2920">
        <w:rPr>
          <w:lang w:val="en-US"/>
        </w:rPr>
        <w:t xml:space="preserve"> at trial</w:t>
      </w:r>
      <w:r w:rsidRPr="007B2920">
        <w:t xml:space="preserve">, neither </w:t>
      </w:r>
      <w:r w:rsidR="00684776" w:rsidRPr="007B2920">
        <w:rPr>
          <w:lang w:val="en-US"/>
        </w:rPr>
        <w:t>Class Representatives</w:t>
      </w:r>
      <w:r w:rsidRPr="007B2920">
        <w:rPr>
          <w:lang w:val="en-US"/>
        </w:rPr>
        <w:t xml:space="preserve"> </w:t>
      </w:r>
      <w:r w:rsidRPr="007B2920">
        <w:t xml:space="preserve">nor the </w:t>
      </w:r>
      <w:r w:rsidRPr="007B2920">
        <w:rPr>
          <w:lang w:val="en-US"/>
        </w:rPr>
        <w:t xml:space="preserve">other members of the </w:t>
      </w:r>
      <w:r w:rsidRPr="007B2920">
        <w:t>Class would recover anything from Defendants. Also, if Defendants were successful in proving any of their defenses</w:t>
      </w:r>
      <w:r w:rsidRPr="007B2920">
        <w:rPr>
          <w:lang w:val="en-US"/>
        </w:rPr>
        <w:t xml:space="preserve"> </w:t>
      </w:r>
      <w:r w:rsidRPr="007B2920">
        <w:t>at trial</w:t>
      </w:r>
      <w:r w:rsidRPr="007B2920">
        <w:rPr>
          <w:lang w:val="en-US"/>
        </w:rPr>
        <w:t>,</w:t>
      </w:r>
      <w:r w:rsidRPr="007B2920">
        <w:t xml:space="preserve"> or on appeal, the Class could recover substantially less than the amount provided in the Settlement, or nothing at all.</w:t>
      </w:r>
    </w:p>
    <w:tbl>
      <w:tblPr>
        <w:tblW w:w="9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546"/>
      </w:tblGrid>
      <w:tr w:rsidR="00C208DC" w:rsidRPr="007B2920" w14:paraId="496D5663" w14:textId="77777777">
        <w:trPr>
          <w:jc w:val="center"/>
        </w:trPr>
        <w:tc>
          <w:tcPr>
            <w:tcW w:w="9546" w:type="dxa"/>
            <w:shd w:val="clear" w:color="auto" w:fill="E0E0E0"/>
          </w:tcPr>
          <w:p w14:paraId="468E6F81" w14:textId="77777777" w:rsidR="00684776" w:rsidRPr="007B2920" w:rsidRDefault="00670596" w:rsidP="007B69E0">
            <w:pPr>
              <w:keepNext/>
              <w:tabs>
                <w:tab w:val="left" w:pos="-180"/>
              </w:tabs>
              <w:spacing w:before="60"/>
              <w:jc w:val="center"/>
              <w:rPr>
                <w:b/>
              </w:rPr>
            </w:pPr>
            <w:r w:rsidRPr="007B2920">
              <w:rPr>
                <w:b/>
              </w:rPr>
              <w:t xml:space="preserve">HOW ARE CLASS MEMBERS AFFECTED BY THE ACTION </w:t>
            </w:r>
          </w:p>
          <w:p w14:paraId="41392C82" w14:textId="0EC8C085" w:rsidR="008B1B77" w:rsidRPr="007B2920" w:rsidRDefault="00670596" w:rsidP="007B69E0">
            <w:pPr>
              <w:keepNext/>
              <w:tabs>
                <w:tab w:val="left" w:pos="-180"/>
              </w:tabs>
              <w:spacing w:after="60"/>
              <w:jc w:val="center"/>
              <w:rPr>
                <w:b/>
              </w:rPr>
            </w:pPr>
            <w:r w:rsidRPr="007B2920">
              <w:rPr>
                <w:b/>
              </w:rPr>
              <w:t>AND THE SETTLEMENT?</w:t>
            </w:r>
          </w:p>
        </w:tc>
      </w:tr>
    </w:tbl>
    <w:p w14:paraId="3D2F1998" w14:textId="43840474" w:rsidR="0042501D" w:rsidRPr="007B2920" w:rsidRDefault="00670596" w:rsidP="003751CA">
      <w:pPr>
        <w:pStyle w:val="Heading1"/>
        <w:tabs>
          <w:tab w:val="clear" w:pos="2160"/>
        </w:tabs>
        <w:spacing w:before="120" w:after="120"/>
        <w:ind w:left="0"/>
      </w:pPr>
      <w:r w:rsidRPr="007B2920">
        <w:t xml:space="preserve">As a Class Member, you are represented by </w:t>
      </w:r>
      <w:r w:rsidR="00684776" w:rsidRPr="007B2920">
        <w:rPr>
          <w:lang w:val="en-US"/>
        </w:rPr>
        <w:t xml:space="preserve">Class Representatives </w:t>
      </w:r>
      <w:r w:rsidRPr="007B2920">
        <w:t xml:space="preserve">and </w:t>
      </w:r>
      <w:r w:rsidR="00684776" w:rsidRPr="007B2920">
        <w:rPr>
          <w:lang w:val="en-US"/>
        </w:rPr>
        <w:t>Class</w:t>
      </w:r>
      <w:r w:rsidRPr="007B2920">
        <w:t xml:space="preserve"> Counsel. If you want to be represented by your own lawyer, you may hire one at your own expense.</w:t>
      </w:r>
    </w:p>
    <w:p w14:paraId="6B50634A" w14:textId="35D968C4" w:rsidR="0042501D" w:rsidRPr="007B2920" w:rsidRDefault="00670596" w:rsidP="003751CA">
      <w:pPr>
        <w:pStyle w:val="Heading1"/>
        <w:tabs>
          <w:tab w:val="clear" w:pos="2160"/>
        </w:tabs>
        <w:spacing w:before="120" w:after="120"/>
        <w:ind w:left="0"/>
      </w:pPr>
      <w:r w:rsidRPr="007B2920">
        <w:t xml:space="preserve">If you </w:t>
      </w:r>
      <w:r w:rsidR="00684776" w:rsidRPr="007B2920">
        <w:rPr>
          <w:lang w:val="en-US"/>
        </w:rPr>
        <w:t xml:space="preserve">previously excluded yourself from the Class in connection with Class Notice and wish to opt back into the Class to be eligible </w:t>
      </w:r>
      <w:r w:rsidR="00ED3F26" w:rsidRPr="007B2920">
        <w:rPr>
          <w:lang w:val="en-US"/>
        </w:rPr>
        <w:t>to receive</w:t>
      </w:r>
      <w:r w:rsidR="00684776" w:rsidRPr="007B2920">
        <w:rPr>
          <w:lang w:val="en-US"/>
        </w:rPr>
        <w:t xml:space="preserve"> a payment from the Settlement, you must request to opt back into the Class</w:t>
      </w:r>
      <w:r w:rsidRPr="007B2920">
        <w:t xml:space="preserve"> by following the instructions in the section below entitled, “</w:t>
      </w:r>
      <w:r w:rsidR="00684776" w:rsidRPr="007B2920">
        <w:rPr>
          <w:lang w:val="en-US"/>
        </w:rPr>
        <w:t xml:space="preserve">How Do I </w:t>
      </w:r>
      <w:proofErr w:type="spellStart"/>
      <w:r w:rsidR="00684776" w:rsidRPr="007B2920">
        <w:rPr>
          <w:lang w:val="en-US"/>
        </w:rPr>
        <w:t>Opt</w:t>
      </w:r>
      <w:proofErr w:type="spellEnd"/>
      <w:r w:rsidR="00684776" w:rsidRPr="007B2920">
        <w:rPr>
          <w:lang w:val="en-US"/>
        </w:rPr>
        <w:t xml:space="preserve"> Back Into The </w:t>
      </w:r>
      <w:r w:rsidRPr="007B2920">
        <w:t>Class?”</w:t>
      </w:r>
      <w:r w:rsidR="00A30D9C" w:rsidRPr="007B2920">
        <w:rPr>
          <w:lang w:val="en-US"/>
        </w:rPr>
        <w:t xml:space="preserve"> on page </w:t>
      </w:r>
      <w:r w:rsidR="006D419D">
        <w:rPr>
          <w:lang w:val="en-US"/>
        </w:rPr>
        <w:t>15</w:t>
      </w:r>
      <w:r w:rsidR="00A30D9C" w:rsidRPr="007B2920">
        <w:rPr>
          <w:lang w:val="en-US"/>
        </w:rPr>
        <w:t>.</w:t>
      </w:r>
    </w:p>
    <w:p w14:paraId="093C3677" w14:textId="709509BB" w:rsidR="0042501D" w:rsidRPr="007B2920" w:rsidRDefault="00670596" w:rsidP="003751CA">
      <w:pPr>
        <w:pStyle w:val="Heading1"/>
        <w:tabs>
          <w:tab w:val="clear" w:pos="2160"/>
        </w:tabs>
        <w:spacing w:before="120" w:after="120"/>
        <w:ind w:left="0"/>
      </w:pPr>
      <w:r w:rsidRPr="007B2920">
        <w:t xml:space="preserve">If you are a Class Member and you wish to object to the Settlement, the Plan of Allocation, or </w:t>
      </w:r>
      <w:r w:rsidR="00684776" w:rsidRPr="007B2920">
        <w:rPr>
          <w:lang w:val="en-US"/>
        </w:rPr>
        <w:t xml:space="preserve">Class </w:t>
      </w:r>
      <w:r w:rsidRPr="007B2920">
        <w:t>Counsel’s request for attorneys’ fees and Litigation Expenses, you may present your objections by following the instructions in the section below entitled, “When And Where Will The Court Decide Whether To Approve The Settlement?”</w:t>
      </w:r>
      <w:r w:rsidR="00A30D9C" w:rsidRPr="007B2920">
        <w:rPr>
          <w:lang w:val="en-US"/>
        </w:rPr>
        <w:t xml:space="preserve"> on page</w:t>
      </w:r>
      <w:r w:rsidR="006D419D">
        <w:rPr>
          <w:lang w:val="en-US"/>
        </w:rPr>
        <w:t>s</w:t>
      </w:r>
      <w:r w:rsidR="00A30D9C" w:rsidRPr="007B2920">
        <w:rPr>
          <w:lang w:val="en-US"/>
        </w:rPr>
        <w:t xml:space="preserve"> </w:t>
      </w:r>
      <w:r w:rsidR="006D419D">
        <w:rPr>
          <w:lang w:val="en-US"/>
        </w:rPr>
        <w:t>16-17</w:t>
      </w:r>
      <w:r w:rsidR="00A30D9C" w:rsidRPr="007B2920">
        <w:rPr>
          <w:lang w:val="en-US"/>
        </w:rPr>
        <w:t>.</w:t>
      </w:r>
    </w:p>
    <w:p w14:paraId="4208C1B5" w14:textId="1E4BC86C" w:rsidR="0042501D" w:rsidRPr="00865662" w:rsidRDefault="00670596" w:rsidP="003751CA">
      <w:pPr>
        <w:pStyle w:val="Heading1"/>
        <w:tabs>
          <w:tab w:val="clear" w:pos="2160"/>
        </w:tabs>
        <w:spacing w:before="120" w:after="120"/>
        <w:ind w:left="0"/>
        <w:rPr>
          <w:spacing w:val="-2"/>
          <w:szCs w:val="20"/>
        </w:rPr>
      </w:pPr>
      <w:r w:rsidRPr="00865662">
        <w:rPr>
          <w:spacing w:val="-2"/>
        </w:rPr>
        <w:t xml:space="preserve">If you are a Class Member you will be bound by any orders issued by the Court in the Action. If the Settlement is approved, the Court will enter a judgment (“Judgment”). The Judgment will dismiss with prejudice the claims against Defendants and will provide that, upon the Effective Date of the Settlement, </w:t>
      </w:r>
      <w:r w:rsidR="00684776" w:rsidRPr="00865662">
        <w:rPr>
          <w:spacing w:val="-2"/>
          <w:szCs w:val="20"/>
          <w:lang w:val="en-US"/>
        </w:rPr>
        <w:t>Class Representatives</w:t>
      </w:r>
      <w:r w:rsidRPr="00865662">
        <w:rPr>
          <w:spacing w:val="-2"/>
          <w:szCs w:val="20"/>
        </w:rPr>
        <w:t xml:space="preserve"> and each of the other Class Members, on behalf of themselves, and their respective heirs, executors, administrators, predecessors, successors, assigns</w:t>
      </w:r>
      <w:r w:rsidRPr="00865662">
        <w:rPr>
          <w:color w:val="000000"/>
          <w:spacing w:val="-2"/>
        </w:rPr>
        <w:t>, representatives, attorneys, and agents</w:t>
      </w:r>
      <w:r w:rsidRPr="00865662">
        <w:rPr>
          <w:spacing w:val="-2"/>
          <w:szCs w:val="20"/>
        </w:rPr>
        <w:t xml:space="preserve">, in their capacities as such, shall be deemed to have, and by operation of law and of the </w:t>
      </w:r>
      <w:r w:rsidR="00201458" w:rsidRPr="00865662">
        <w:rPr>
          <w:spacing w:val="-2"/>
          <w:szCs w:val="20"/>
          <w:lang w:val="en-US"/>
        </w:rPr>
        <w:t>J</w:t>
      </w:r>
      <w:proofErr w:type="spellStart"/>
      <w:r w:rsidRPr="00865662">
        <w:rPr>
          <w:spacing w:val="-2"/>
          <w:szCs w:val="20"/>
        </w:rPr>
        <w:t>udgment</w:t>
      </w:r>
      <w:proofErr w:type="spellEnd"/>
      <w:r w:rsidRPr="00865662">
        <w:rPr>
          <w:spacing w:val="-2"/>
          <w:szCs w:val="20"/>
        </w:rPr>
        <w:t xml:space="preserve"> shall have, fully, finally, and forever compromised, settled, released, resolved, relinquished, waived, and discharged each and every</w:t>
      </w:r>
      <w:r w:rsidRPr="00865662">
        <w:rPr>
          <w:b/>
          <w:spacing w:val="-2"/>
          <w:szCs w:val="20"/>
        </w:rPr>
        <w:t xml:space="preserve"> </w:t>
      </w:r>
      <w:r w:rsidRPr="00865662">
        <w:rPr>
          <w:spacing w:val="-2"/>
          <w:szCs w:val="20"/>
        </w:rPr>
        <w:t>Released Plaintiffs’ Claim</w:t>
      </w:r>
      <w:r w:rsidRPr="00865662">
        <w:rPr>
          <w:spacing w:val="-2"/>
          <w:szCs w:val="20"/>
          <w:lang w:val="en-US"/>
        </w:rPr>
        <w:t xml:space="preserve"> (as defined in ¶ </w:t>
      </w:r>
      <w:r w:rsidR="006A571A" w:rsidRPr="00865662">
        <w:rPr>
          <w:spacing w:val="-2"/>
          <w:szCs w:val="20"/>
          <w:lang w:val="en-US"/>
        </w:rPr>
        <w:t>45</w:t>
      </w:r>
      <w:r w:rsidR="00684776" w:rsidRPr="00865662">
        <w:rPr>
          <w:spacing w:val="-2"/>
          <w:szCs w:val="20"/>
          <w:lang w:val="en-US"/>
        </w:rPr>
        <w:t xml:space="preserve"> </w:t>
      </w:r>
      <w:r w:rsidRPr="00865662">
        <w:rPr>
          <w:spacing w:val="-2"/>
          <w:szCs w:val="20"/>
          <w:lang w:val="en-US"/>
        </w:rPr>
        <w:t>below)</w:t>
      </w:r>
      <w:r w:rsidRPr="00865662">
        <w:rPr>
          <w:spacing w:val="-2"/>
          <w:szCs w:val="20"/>
        </w:rPr>
        <w:t xml:space="preserve"> </w:t>
      </w:r>
      <w:r w:rsidR="00A85C1D" w:rsidRPr="00865662">
        <w:rPr>
          <w:spacing w:val="-2"/>
          <w:szCs w:val="20"/>
          <w:lang w:val="en-US"/>
        </w:rPr>
        <w:t xml:space="preserve">(including, within limitation, Unknown Claims (as defined in ¶ </w:t>
      </w:r>
      <w:r w:rsidR="006A571A" w:rsidRPr="00865662">
        <w:rPr>
          <w:spacing w:val="-2"/>
          <w:szCs w:val="20"/>
          <w:lang w:val="en-US"/>
        </w:rPr>
        <w:t>47</w:t>
      </w:r>
      <w:r w:rsidR="00A85C1D" w:rsidRPr="00865662">
        <w:rPr>
          <w:spacing w:val="-2"/>
          <w:szCs w:val="20"/>
          <w:lang w:val="en-US"/>
        </w:rPr>
        <w:t xml:space="preserve"> below) </w:t>
      </w:r>
      <w:r w:rsidRPr="00865662">
        <w:rPr>
          <w:spacing w:val="-2"/>
          <w:szCs w:val="20"/>
        </w:rPr>
        <w:t>against Defendants and the other Defendants’ Releasees</w:t>
      </w:r>
      <w:r w:rsidRPr="00865662">
        <w:rPr>
          <w:spacing w:val="-2"/>
          <w:szCs w:val="20"/>
          <w:lang w:val="en-US"/>
        </w:rPr>
        <w:t xml:space="preserve"> (as defined in ¶</w:t>
      </w:r>
      <w:r w:rsidR="00D711B6" w:rsidRPr="00865662">
        <w:rPr>
          <w:spacing w:val="-2"/>
          <w:szCs w:val="20"/>
          <w:lang w:val="en-US"/>
        </w:rPr>
        <w:t xml:space="preserve"> </w:t>
      </w:r>
      <w:r w:rsidR="006A571A" w:rsidRPr="00865662">
        <w:rPr>
          <w:spacing w:val="-2"/>
          <w:szCs w:val="20"/>
          <w:lang w:val="en-US"/>
        </w:rPr>
        <w:t>46</w:t>
      </w:r>
      <w:r w:rsidRPr="00865662">
        <w:rPr>
          <w:spacing w:val="-2"/>
          <w:szCs w:val="20"/>
          <w:lang w:val="en-US"/>
        </w:rPr>
        <w:t xml:space="preserve"> below)</w:t>
      </w:r>
      <w:r w:rsidRPr="00865662">
        <w:rPr>
          <w:spacing w:val="-2"/>
          <w:szCs w:val="20"/>
        </w:rPr>
        <w:t xml:space="preserve">, and shall forever be barred and enjoined from prosecuting any </w:t>
      </w:r>
      <w:r w:rsidR="00A85C1D" w:rsidRPr="00865662">
        <w:rPr>
          <w:spacing w:val="-2"/>
          <w:szCs w:val="20"/>
          <w:lang w:val="en-US"/>
        </w:rPr>
        <w:t>and</w:t>
      </w:r>
      <w:r w:rsidRPr="00865662">
        <w:rPr>
          <w:spacing w:val="-2"/>
          <w:szCs w:val="20"/>
        </w:rPr>
        <w:t xml:space="preserve"> all of the Released Plaintiffs’ Claims directly or indirectly against any of the </w:t>
      </w:r>
      <w:r w:rsidR="00A85C1D" w:rsidRPr="00865662">
        <w:rPr>
          <w:spacing w:val="-2"/>
          <w:szCs w:val="20"/>
          <w:lang w:val="en-US"/>
        </w:rPr>
        <w:t xml:space="preserve">Defendants and the other </w:t>
      </w:r>
      <w:r w:rsidRPr="00865662">
        <w:rPr>
          <w:spacing w:val="-2"/>
          <w:szCs w:val="20"/>
        </w:rPr>
        <w:t>Defendants’ Releasees.</w:t>
      </w:r>
      <w:bookmarkStart w:id="7" w:name="_Hlk26452414"/>
    </w:p>
    <w:p w14:paraId="565CDB58" w14:textId="3745E7FB" w:rsidR="00684776" w:rsidRPr="00865662" w:rsidRDefault="00670596" w:rsidP="003751CA">
      <w:pPr>
        <w:pStyle w:val="Heading1"/>
        <w:tabs>
          <w:tab w:val="clear" w:pos="2160"/>
        </w:tabs>
        <w:spacing w:before="120" w:after="120"/>
        <w:ind w:left="0"/>
        <w:rPr>
          <w:color w:val="000000"/>
          <w:spacing w:val="-4"/>
        </w:rPr>
      </w:pPr>
      <w:r w:rsidRPr="00865662">
        <w:rPr>
          <w:spacing w:val="-4"/>
          <w:szCs w:val="28"/>
        </w:rPr>
        <w:t xml:space="preserve">“Released Plaintiffs’ Claims” </w:t>
      </w:r>
      <w:r w:rsidRPr="00865662">
        <w:rPr>
          <w:spacing w:val="-4"/>
        </w:rPr>
        <w:t xml:space="preserve">means all claims, demands, losses, rights, and causes of action of any nature whatsoever, that have been or could have been asserted in this action or could in the future be asserted in any forum, whether foreign or domestic, whether arising under federal, state, common, or foreign law, by the Class Representatives or their related parties, or any member of the Class and their related parties, which (a) arise out of, are based upon, or relate to in any way any of the allegations, acts, transactions, facts, events, matters, occurrences, representations or omissions involved, set forth, alleged or referred to, in this action, or which could have been alleged in this action, and (b) arise out of, are based upon, or relate to in any way the purchase or acquisition of GE common stock during the class period alleged in the Sixth Amended Complaint filed on May 13, 2022 (ECF No. 327) (i.e., February 27, 2013 through January 23, 2018, inclusive). Notwithstanding the </w:t>
      </w:r>
      <w:r w:rsidRPr="00865662">
        <w:rPr>
          <w:spacing w:val="-4"/>
        </w:rPr>
        <w:lastRenderedPageBreak/>
        <w:t xml:space="preserve">aforementioned, the claims asserted derivatively on behalf of GE in </w:t>
      </w:r>
      <w:r w:rsidRPr="00865662">
        <w:rPr>
          <w:i/>
          <w:iCs/>
          <w:spacing w:val="-4"/>
        </w:rPr>
        <w:t>Burden v. General Electric Co.</w:t>
      </w:r>
      <w:r w:rsidRPr="00865662">
        <w:rPr>
          <w:spacing w:val="-4"/>
        </w:rPr>
        <w:t xml:space="preserve">, No. 652991/2021 (N.Y. Sup. Ct., N.Y. </w:t>
      </w:r>
      <w:proofErr w:type="spellStart"/>
      <w:r w:rsidRPr="00865662">
        <w:rPr>
          <w:spacing w:val="-4"/>
        </w:rPr>
        <w:t>Cty</w:t>
      </w:r>
      <w:proofErr w:type="spellEnd"/>
      <w:r w:rsidRPr="00865662">
        <w:rPr>
          <w:spacing w:val="-4"/>
        </w:rPr>
        <w:t xml:space="preserve">.) and </w:t>
      </w:r>
      <w:r w:rsidRPr="00865662">
        <w:rPr>
          <w:i/>
          <w:iCs/>
          <w:spacing w:val="-4"/>
        </w:rPr>
        <w:t>In re General Electric Co. Derivative Litigation</w:t>
      </w:r>
      <w:r w:rsidRPr="00865662">
        <w:rPr>
          <w:spacing w:val="-4"/>
        </w:rPr>
        <w:t xml:space="preserve">, No. 655528/2020 (N.Y. Sup. Ct., N.Y. </w:t>
      </w:r>
      <w:proofErr w:type="spellStart"/>
      <w:r w:rsidRPr="00865662">
        <w:rPr>
          <w:spacing w:val="-4"/>
        </w:rPr>
        <w:t>Cty</w:t>
      </w:r>
      <w:proofErr w:type="spellEnd"/>
      <w:r w:rsidRPr="00865662">
        <w:rPr>
          <w:spacing w:val="-4"/>
        </w:rPr>
        <w:t>.) are explicitly excluded from release. The release also excludes (</w:t>
      </w:r>
      <w:proofErr w:type="spellStart"/>
      <w:r w:rsidRPr="00865662">
        <w:rPr>
          <w:spacing w:val="-4"/>
        </w:rPr>
        <w:t>i</w:t>
      </w:r>
      <w:proofErr w:type="spellEnd"/>
      <w:r w:rsidRPr="00865662">
        <w:rPr>
          <w:spacing w:val="-4"/>
        </w:rPr>
        <w:t xml:space="preserve">) any claims relating to the enforcement of the Settlement; </w:t>
      </w:r>
      <w:r w:rsidRPr="00865662">
        <w:rPr>
          <w:spacing w:val="-4"/>
          <w:lang w:val="en-US"/>
        </w:rPr>
        <w:t xml:space="preserve">and </w:t>
      </w:r>
      <w:r w:rsidRPr="00865662">
        <w:rPr>
          <w:spacing w:val="-4"/>
        </w:rPr>
        <w:t>(ii) any claims of the persons and entities who requested exclusion from the Class pursuant to the Class Notice, unless such persons and entities choose to opt back into the Class as directed in th</w:t>
      </w:r>
      <w:r w:rsidRPr="00865662">
        <w:rPr>
          <w:spacing w:val="-4"/>
          <w:lang w:val="en-US"/>
        </w:rPr>
        <w:t>is</w:t>
      </w:r>
      <w:r w:rsidRPr="00865662">
        <w:rPr>
          <w:spacing w:val="-4"/>
        </w:rPr>
        <w:t xml:space="preserve"> Notice</w:t>
      </w:r>
      <w:r w:rsidRPr="00865662">
        <w:rPr>
          <w:color w:val="00B150"/>
          <w:spacing w:val="-4"/>
        </w:rPr>
        <w:t>.</w:t>
      </w:r>
    </w:p>
    <w:p w14:paraId="118C168A" w14:textId="62CDD828" w:rsidR="00684776" w:rsidRPr="007B2920" w:rsidRDefault="00670596" w:rsidP="003751CA">
      <w:pPr>
        <w:pStyle w:val="Heading1"/>
        <w:tabs>
          <w:tab w:val="clear" w:pos="2160"/>
        </w:tabs>
        <w:spacing w:before="120" w:after="120"/>
        <w:ind w:left="0"/>
      </w:pPr>
      <w:r w:rsidRPr="007B2920">
        <w:rPr>
          <w:szCs w:val="28"/>
        </w:rPr>
        <w:t xml:space="preserve">“Defendants’ Releasees” means </w:t>
      </w:r>
      <w:r w:rsidRPr="007B2920">
        <w:t xml:space="preserve">Defendants and any and all of their current and former parents, affiliates, subsidiaries, officers, directors, agents, successors, predecessors, assigns, assignees, divisions, investment funds, joint ventures, and general or limited partnerships, and each of their respective current or former officers, directors, partners, trustees, trusts, members, contractors, auditors, principals, agents, managing agents, employees, insurers, reinsurers, and attorneys, in their capacities as such, as well as each of the individual Defendant’s Immediate Family members, heirs, executors, personal or legal representatives, estates, beneficiaries, predecessors, successors, and assigns. </w:t>
      </w:r>
    </w:p>
    <w:p w14:paraId="59B67CD1" w14:textId="01CA7428" w:rsidR="00684776" w:rsidRPr="007B2920" w:rsidRDefault="00670596" w:rsidP="003751CA">
      <w:pPr>
        <w:pStyle w:val="Heading1"/>
        <w:tabs>
          <w:tab w:val="clear" w:pos="2160"/>
        </w:tabs>
        <w:spacing w:before="120" w:after="120"/>
        <w:ind w:left="0"/>
      </w:pPr>
      <w:r w:rsidRPr="007B2920">
        <w:rPr>
          <w:szCs w:val="28"/>
        </w:rPr>
        <w:t xml:space="preserve">“Unknown Claims” </w:t>
      </w:r>
      <w:r w:rsidRPr="007B2920">
        <w:t>means any Released Plaintiffs’ Claims which either Class Representative or any other Class Member does not know or suspect to exist in his, her, or its favor at the time of the release of such claims, and any Released Defendants’ Claims which any Defendant does not know or suspect to exist in his, her, or its favor at the time of the release of such claims, which, if known by him, her, or it, might have materially affected his, her, or its decision(s) with respect to this Settlement. With respect to any and all Released Claims, the Parties stipulate and agree that, upon the Effective Date of the Settlement, Class Representatives and Defendants shall expressly waive, and each of the other Class Members shall be deemed to have waived, and by operation of the Judgment or the Alternate Judgment, if applicable, shall have expressly waived, any and all provisions, rights, and benefits conferred by any law of any state or territory of the United States, or principle of common law or foreign law, which is similar, comparable, or equivalent to California Civil Code §1542, which provides:</w:t>
      </w:r>
    </w:p>
    <w:p w14:paraId="48DF543D" w14:textId="77777777" w:rsidR="00684776" w:rsidRPr="007B2920" w:rsidRDefault="00670596" w:rsidP="003751CA">
      <w:pPr>
        <w:tabs>
          <w:tab w:val="num" w:pos="2880"/>
        </w:tabs>
        <w:spacing w:before="120" w:after="120"/>
        <w:ind w:left="720" w:right="720"/>
        <w:jc w:val="both"/>
        <w:outlineLvl w:val="3"/>
      </w:pPr>
      <w:r w:rsidRPr="007B2920">
        <w:t>A general release does not extend to claims that the creditor or releasing party does not know or suspect to exist in his or her favor at the time of executing the release and that, if known by him or her, would have materially affected his or her settlement with the debtor or released party.</w:t>
      </w:r>
    </w:p>
    <w:p w14:paraId="3C2242C2" w14:textId="1D4F1372" w:rsidR="00194AA5" w:rsidRPr="007B2920" w:rsidRDefault="00670596" w:rsidP="003751CA">
      <w:pPr>
        <w:pStyle w:val="Heading1"/>
        <w:numPr>
          <w:ilvl w:val="0"/>
          <w:numId w:val="0"/>
        </w:numPr>
        <w:spacing w:before="120" w:after="120"/>
      </w:pPr>
      <w:r w:rsidRPr="007B2920">
        <w:rPr>
          <w:u w:color="0000FF"/>
        </w:rPr>
        <w:t xml:space="preserve">Class Representatives or other Class Members may hereafter discover facts, legal theories, or authorities in addition to or </w:t>
      </w:r>
      <w:r w:rsidRPr="007B2920">
        <w:t>different</w:t>
      </w:r>
      <w:r w:rsidRPr="007B2920">
        <w:rPr>
          <w:u w:color="0000FF"/>
        </w:rPr>
        <w:t xml:space="preserve"> from those which any of them now knows or believes to be true with respect to the subject matter of the Released Plaintiffs’ Claims, but Class Representatives and each Class Member shall be deemed to have settled and released, and upon the Effective Date and by operation of the Judgment have settled and released, fully, finally, and forever, any and all Released Plaintiffs’ Claims as applicable, without regard to the subsequent discovery or existence of such different or additional facts, legal theories, or authorities. </w:t>
      </w:r>
      <w:r w:rsidRPr="007B2920">
        <w:t>Class Representatives and Defendants acknowledge, and each of the other Class Members shall be deemed by operation of law to have acknowledged, that the foregoing waiver was separately bargained for and a key element of the Settlement.</w:t>
      </w:r>
      <w:bookmarkEnd w:id="7"/>
    </w:p>
    <w:p w14:paraId="1DDC53E1" w14:textId="358A9510" w:rsidR="00194AA5" w:rsidRPr="007B2920" w:rsidRDefault="00670596" w:rsidP="003751CA">
      <w:pPr>
        <w:pStyle w:val="Heading1"/>
        <w:tabs>
          <w:tab w:val="clear" w:pos="2160"/>
        </w:tabs>
        <w:spacing w:before="120" w:after="120"/>
        <w:ind w:left="0"/>
        <w:rPr>
          <w:lang w:val="en-US"/>
        </w:rPr>
      </w:pPr>
      <w:r w:rsidRPr="007B2920">
        <w:t xml:space="preserve">The Judgment will also provide that, upon the Effective Date of the Settlement, </w:t>
      </w:r>
      <w:r w:rsidRPr="007B2920">
        <w:rPr>
          <w:szCs w:val="20"/>
        </w:rPr>
        <w:t>Defendants</w:t>
      </w:r>
      <w:r w:rsidR="00684776" w:rsidRPr="007B2920">
        <w:rPr>
          <w:szCs w:val="20"/>
        </w:rPr>
        <w:t>, on behalf of themselves, and their respective heirs, executors, administrators, predecessors, successors, assigns</w:t>
      </w:r>
      <w:r w:rsidR="00684776" w:rsidRPr="007B2920">
        <w:rPr>
          <w:color w:val="000000"/>
        </w:rPr>
        <w:t xml:space="preserve">, </w:t>
      </w:r>
      <w:r w:rsidR="00684776" w:rsidRPr="007B2920">
        <w:rPr>
          <w:szCs w:val="20"/>
        </w:rPr>
        <w:t>representatives</w:t>
      </w:r>
      <w:r w:rsidR="00684776" w:rsidRPr="007B2920">
        <w:rPr>
          <w:color w:val="000000"/>
        </w:rPr>
        <w:t>, attorneys, and agent</w:t>
      </w:r>
      <w:r w:rsidR="00684776" w:rsidRPr="007B2920">
        <w:rPr>
          <w:szCs w:val="20"/>
        </w:rPr>
        <w:t xml:space="preserve">s, in their capacities as such, shall be deemed to have, and by operation of law and of the Judgment shall have, fully, finally, and forever compromised, settled, released, resolved, relinquished, waived, and discharged each </w:t>
      </w:r>
      <w:r w:rsidR="00684776" w:rsidRPr="007B2920">
        <w:rPr>
          <w:szCs w:val="20"/>
        </w:rPr>
        <w:lastRenderedPageBreak/>
        <w:t xml:space="preserve">and every Released Defendants’ Claim </w:t>
      </w:r>
      <w:r w:rsidR="00684776" w:rsidRPr="007B2920">
        <w:rPr>
          <w:szCs w:val="20"/>
          <w:lang w:val="en-US"/>
        </w:rPr>
        <w:t xml:space="preserve">(as defined in ¶ </w:t>
      </w:r>
      <w:r w:rsidR="006A571A" w:rsidRPr="007B2920">
        <w:rPr>
          <w:szCs w:val="20"/>
          <w:lang w:val="en-US"/>
        </w:rPr>
        <w:t>49</w:t>
      </w:r>
      <w:r w:rsidR="00684776" w:rsidRPr="007B2920">
        <w:rPr>
          <w:szCs w:val="20"/>
          <w:lang w:val="en-US"/>
        </w:rPr>
        <w:t xml:space="preserve"> below) </w:t>
      </w:r>
      <w:r w:rsidR="00A85C1D" w:rsidRPr="007B2920">
        <w:rPr>
          <w:szCs w:val="20"/>
          <w:lang w:val="en-US"/>
        </w:rPr>
        <w:t xml:space="preserve">(including, without limitation, Unknown Claims) </w:t>
      </w:r>
      <w:r w:rsidR="00684776" w:rsidRPr="007B2920">
        <w:rPr>
          <w:szCs w:val="20"/>
        </w:rPr>
        <w:t>against Class Representatives and the other Plaintiffs’ Releasees</w:t>
      </w:r>
      <w:r w:rsidR="00684776" w:rsidRPr="007B2920">
        <w:rPr>
          <w:szCs w:val="20"/>
          <w:lang w:val="en-US"/>
        </w:rPr>
        <w:t xml:space="preserve"> (as defined in ¶ </w:t>
      </w:r>
      <w:r w:rsidR="006A571A" w:rsidRPr="007B2920">
        <w:rPr>
          <w:szCs w:val="20"/>
          <w:lang w:val="en-US"/>
        </w:rPr>
        <w:t>50</w:t>
      </w:r>
      <w:r w:rsidR="00684776" w:rsidRPr="007B2920">
        <w:rPr>
          <w:szCs w:val="20"/>
          <w:lang w:val="en-US"/>
        </w:rPr>
        <w:t xml:space="preserve"> below)</w:t>
      </w:r>
      <w:r w:rsidR="00684776" w:rsidRPr="007B2920">
        <w:rPr>
          <w:szCs w:val="20"/>
        </w:rPr>
        <w:t xml:space="preserve">, and shall forever be barred </w:t>
      </w:r>
      <w:r w:rsidR="00684776" w:rsidRPr="007B2920">
        <w:t xml:space="preserve">and enjoined from prosecuting any </w:t>
      </w:r>
      <w:r w:rsidR="00A85C1D" w:rsidRPr="007B2920">
        <w:rPr>
          <w:lang w:val="en-US"/>
        </w:rPr>
        <w:t>and</w:t>
      </w:r>
      <w:r w:rsidR="00684776" w:rsidRPr="007B2920">
        <w:t xml:space="preserve"> all of the Released Defendants’ Claims directly or indirectly against any of the Plaintiffs’ Releasees. This Release shall not apply to</w:t>
      </w:r>
      <w:r w:rsidR="00684776" w:rsidRPr="007B2920">
        <w:rPr>
          <w:lang w:val="en-US"/>
        </w:rPr>
        <w:t xml:space="preserve"> </w:t>
      </w:r>
      <w:r w:rsidR="00684776" w:rsidRPr="007B2920">
        <w:t xml:space="preserve">any person or entity who previously submitted a request for exclusion from the Class in connection with Class Notice as set forth on Appendix 1 to </w:t>
      </w:r>
      <w:r w:rsidR="00684776" w:rsidRPr="007B2920">
        <w:rPr>
          <w:lang w:val="en-US"/>
        </w:rPr>
        <w:t xml:space="preserve">the Stipulation </w:t>
      </w:r>
      <w:r w:rsidR="00684776" w:rsidRPr="007B2920">
        <w:t>and does not opt back into the Class as directed in th</w:t>
      </w:r>
      <w:r w:rsidR="00684776" w:rsidRPr="007B2920">
        <w:rPr>
          <w:lang w:val="en-US"/>
        </w:rPr>
        <w:t>is</w:t>
      </w:r>
      <w:r w:rsidR="00684776" w:rsidRPr="007B2920">
        <w:t xml:space="preserve"> Notice</w:t>
      </w:r>
      <w:r w:rsidR="00684776" w:rsidRPr="007B2920">
        <w:rPr>
          <w:lang w:val="en-US"/>
        </w:rPr>
        <w:t>.</w:t>
      </w:r>
    </w:p>
    <w:p w14:paraId="1C472155" w14:textId="3450711C" w:rsidR="00194AA5" w:rsidRPr="007B2920" w:rsidRDefault="00670596" w:rsidP="003751CA">
      <w:pPr>
        <w:pStyle w:val="Heading1"/>
        <w:tabs>
          <w:tab w:val="clear" w:pos="2160"/>
        </w:tabs>
        <w:spacing w:before="120" w:after="120"/>
        <w:ind w:left="0"/>
      </w:pPr>
      <w:r w:rsidRPr="007B2920">
        <w:t xml:space="preserve">“Released Defendants’ Claims” </w:t>
      </w:r>
      <w:r w:rsidR="004A7C8F" w:rsidRPr="007B2920">
        <w:t xml:space="preserve">means all claims and causes of action of every nature and description, whether known or unknown, whether arising under federal, state, local, common, statutory, administrative or foreign law, or any other law, rule or regulation, at law or in </w:t>
      </w:r>
      <w:r w:rsidR="004A7C8F" w:rsidRPr="007B2920">
        <w:rPr>
          <w:szCs w:val="20"/>
        </w:rPr>
        <w:t>equity</w:t>
      </w:r>
      <w:r w:rsidR="004A7C8F" w:rsidRPr="007B2920">
        <w:t>, whether class or individual in nature, whether accrued or unaccrued, whether liquidated or unliquidated, whether matured or unmatured, that arise out of or relate in any way to the institution, prosecution, or settlement of the claims against Defendants. “Released Defendants’ Claims” do not include any claims relating to the enforcement of the Settlement.</w:t>
      </w:r>
    </w:p>
    <w:p w14:paraId="4295CD7E" w14:textId="57C14F99" w:rsidR="004A7C8F" w:rsidRPr="007B2920" w:rsidRDefault="00670596" w:rsidP="00292F31">
      <w:pPr>
        <w:pStyle w:val="Heading1"/>
        <w:tabs>
          <w:tab w:val="clear" w:pos="2160"/>
        </w:tabs>
        <w:spacing w:before="120"/>
        <w:ind w:left="0"/>
      </w:pPr>
      <w:r w:rsidRPr="007B2920">
        <w:rPr>
          <w:szCs w:val="28"/>
        </w:rPr>
        <w:t>“</w:t>
      </w:r>
      <w:r w:rsidRPr="007B2920">
        <w:t>Plaintiffs’ Releasees” means Class Representatives and all other Class Members, and any and all of their respective current and former parents, affiliates, subsidiaries, officers, directors, agents, successors, predecessors, assigns, assignees, divisions, investment funds, joint ventures, and general or limited partnerships, and each of their respective current or former officers, directors, partners, trustees, trusts, members, contractors, auditors, principals, agents, managing agents, employees, insurers, reinsurers, and attorneys, in their capacities as such, as well as each of the Class Members’ Immediate Family members, heirs, executors, personal or legal representatives, estates, beneficiaries, predecessors, successors, and assigns.</w:t>
      </w: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450"/>
      </w:tblGrid>
      <w:tr w:rsidR="00C208DC" w:rsidRPr="007B2920" w14:paraId="313400E2" w14:textId="77777777">
        <w:trPr>
          <w:jc w:val="center"/>
        </w:trPr>
        <w:tc>
          <w:tcPr>
            <w:tcW w:w="9450" w:type="dxa"/>
            <w:shd w:val="clear" w:color="auto" w:fill="E0E0E0"/>
          </w:tcPr>
          <w:p w14:paraId="79530E93" w14:textId="77777777" w:rsidR="008B1B77" w:rsidRPr="007B2920" w:rsidRDefault="00670596" w:rsidP="00084138">
            <w:pPr>
              <w:keepNext/>
              <w:tabs>
                <w:tab w:val="left" w:pos="-180"/>
              </w:tabs>
              <w:spacing w:before="60"/>
              <w:jc w:val="center"/>
              <w:rPr>
                <w:b/>
              </w:rPr>
            </w:pPr>
            <w:r w:rsidRPr="007B2920">
              <w:rPr>
                <w:b/>
              </w:rPr>
              <w:t xml:space="preserve">HOW DO I PARTICIPATE IN THE SETTLEMENT?  </w:t>
            </w:r>
          </w:p>
          <w:p w14:paraId="0263294C" w14:textId="77777777" w:rsidR="008B1B77" w:rsidRPr="007B2920" w:rsidRDefault="00670596" w:rsidP="00084138">
            <w:pPr>
              <w:keepNext/>
              <w:tabs>
                <w:tab w:val="left" w:pos="-180"/>
              </w:tabs>
              <w:spacing w:after="60"/>
              <w:jc w:val="center"/>
              <w:rPr>
                <w:b/>
              </w:rPr>
            </w:pPr>
            <w:r w:rsidRPr="007B2920">
              <w:rPr>
                <w:b/>
              </w:rPr>
              <w:t>WHAT DO I NEED TO DO?</w:t>
            </w:r>
          </w:p>
        </w:tc>
      </w:tr>
    </w:tbl>
    <w:p w14:paraId="6CC64826" w14:textId="20A345AB" w:rsidR="008B1B77" w:rsidRPr="007B2920" w:rsidRDefault="00670596" w:rsidP="00292F31">
      <w:pPr>
        <w:pStyle w:val="Heading1"/>
        <w:tabs>
          <w:tab w:val="clear" w:pos="2160"/>
        </w:tabs>
        <w:spacing w:before="120"/>
        <w:ind w:left="0"/>
        <w:rPr>
          <w:lang w:val="en-US"/>
        </w:rPr>
      </w:pPr>
      <w:r w:rsidRPr="007B2920">
        <w:t xml:space="preserve">To be eligible for a payment from the proceeds of the Settlement, you must be a member of the </w:t>
      </w:r>
      <w:r w:rsidRPr="007B2920">
        <w:rPr>
          <w:lang w:val="en-US"/>
        </w:rPr>
        <w:t>Class</w:t>
      </w:r>
      <w:r w:rsidRPr="007B2920">
        <w:t xml:space="preserve"> and you must timely complete and return the Claim Form with adequate supporting documentation </w:t>
      </w:r>
      <w:r w:rsidRPr="007B2920">
        <w:rPr>
          <w:b/>
          <w:i/>
        </w:rPr>
        <w:t xml:space="preserve">postmarked </w:t>
      </w:r>
      <w:r w:rsidRPr="007B2920">
        <w:rPr>
          <w:b/>
          <w:i/>
          <w:lang w:val="en-US"/>
        </w:rPr>
        <w:t>(if mailed), or submitted online at</w:t>
      </w:r>
      <w:r w:rsidR="004A7C8F" w:rsidRPr="007B2920">
        <w:rPr>
          <w:b/>
          <w:i/>
          <w:lang w:val="en-US"/>
        </w:rPr>
        <w:t xml:space="preserve"> the case website,</w:t>
      </w:r>
      <w:r w:rsidRPr="007B2920">
        <w:rPr>
          <w:b/>
          <w:i/>
          <w:lang w:val="en-US"/>
        </w:rPr>
        <w:t xml:space="preserve"> </w:t>
      </w:r>
      <w:r w:rsidRPr="007B2920">
        <w:rPr>
          <w:rStyle w:val="Hyperlink"/>
          <w:b/>
          <w:i/>
          <w:color w:val="auto"/>
          <w:lang w:val="en-US"/>
        </w:rPr>
        <w:t>www.</w:t>
      </w:r>
      <w:r w:rsidR="004A7C8F" w:rsidRPr="007B2920">
        <w:rPr>
          <w:rStyle w:val="Hyperlink"/>
          <w:b/>
          <w:i/>
          <w:color w:val="auto"/>
          <w:lang w:val="en-US"/>
        </w:rPr>
        <w:t>GeneralElectric</w:t>
      </w:r>
      <w:r w:rsidRPr="007B2920">
        <w:rPr>
          <w:rStyle w:val="Hyperlink"/>
          <w:b/>
          <w:i/>
          <w:color w:val="auto"/>
          <w:lang w:val="en-US"/>
        </w:rPr>
        <w:t>SecuritiesLitigation.com</w:t>
      </w:r>
      <w:r w:rsidRPr="007B2920">
        <w:rPr>
          <w:b/>
          <w:i/>
          <w:lang w:val="en-US"/>
        </w:rPr>
        <w:t xml:space="preserve">, </w:t>
      </w:r>
      <w:r w:rsidRPr="007B2920">
        <w:rPr>
          <w:b/>
          <w:i/>
        </w:rPr>
        <w:t>no later than</w:t>
      </w:r>
      <w:r w:rsidR="009949CD">
        <w:rPr>
          <w:b/>
          <w:i/>
        </w:rPr>
        <w:t xml:space="preserve"> June 20</w:t>
      </w:r>
      <w:r w:rsidRPr="007B2920">
        <w:rPr>
          <w:b/>
          <w:i/>
        </w:rPr>
        <w:t>, 20</w:t>
      </w:r>
      <w:r w:rsidRPr="007B2920">
        <w:rPr>
          <w:b/>
          <w:i/>
          <w:lang w:val="en-US"/>
        </w:rPr>
        <w:t>2</w:t>
      </w:r>
      <w:r w:rsidR="004A7C8F" w:rsidRPr="007B2920">
        <w:rPr>
          <w:b/>
          <w:i/>
          <w:lang w:val="en-US"/>
        </w:rPr>
        <w:t>5</w:t>
      </w:r>
      <w:r w:rsidRPr="007B2920">
        <w:t xml:space="preserve">. </w:t>
      </w:r>
      <w:r w:rsidRPr="007B2920">
        <w:rPr>
          <w:lang w:val="en-US"/>
        </w:rPr>
        <w:t xml:space="preserve">You can obtain a copy of the Claim Form on the website, </w:t>
      </w:r>
      <w:r w:rsidRPr="007B2920">
        <w:rPr>
          <w:rStyle w:val="Hyperlink"/>
          <w:color w:val="auto"/>
          <w:lang w:val="en-US"/>
        </w:rPr>
        <w:t>www.</w:t>
      </w:r>
      <w:r w:rsidR="004A7C8F" w:rsidRPr="007B2920">
        <w:rPr>
          <w:rStyle w:val="Hyperlink"/>
          <w:color w:val="auto"/>
          <w:lang w:val="en-US"/>
        </w:rPr>
        <w:t>GeneralElectric</w:t>
      </w:r>
      <w:r w:rsidRPr="007B2920">
        <w:rPr>
          <w:rStyle w:val="Hyperlink"/>
          <w:color w:val="auto"/>
          <w:lang w:val="en-US"/>
        </w:rPr>
        <w:t>SecuritiesLitigation.com</w:t>
      </w:r>
      <w:r w:rsidRPr="007B2920">
        <w:rPr>
          <w:lang w:val="en-US"/>
        </w:rPr>
        <w:t xml:space="preserve">, </w:t>
      </w:r>
      <w:r w:rsidRPr="007B2920">
        <w:t>or you may request that a Claim Form be mailed to you by calling the Claims Administrator toll free at</w:t>
      </w:r>
      <w:r w:rsidR="004A7C8F" w:rsidRPr="007B2920">
        <w:rPr>
          <w:lang w:val="en-US"/>
        </w:rPr>
        <w:t xml:space="preserve"> </w:t>
      </w:r>
      <w:r w:rsidR="004A7C8F" w:rsidRPr="007B2920">
        <w:rPr>
          <w:color w:val="000000"/>
        </w:rPr>
        <w:t>1-</w:t>
      </w:r>
      <w:r w:rsidR="004A7C8F" w:rsidRPr="007B2920">
        <w:t>844-202-9485</w:t>
      </w:r>
      <w:r w:rsidRPr="007B2920">
        <w:rPr>
          <w:lang w:val="en-US"/>
        </w:rPr>
        <w:t xml:space="preserve">, </w:t>
      </w:r>
      <w:r w:rsidRPr="007B2920">
        <w:t xml:space="preserve">or by </w:t>
      </w:r>
      <w:r w:rsidR="004A7C8F" w:rsidRPr="007B2920">
        <w:rPr>
          <w:lang w:val="en-US"/>
        </w:rPr>
        <w:t xml:space="preserve">sending an </w:t>
      </w:r>
      <w:r w:rsidRPr="007B2920">
        <w:t>email</w:t>
      </w:r>
      <w:r w:rsidR="004A7C8F" w:rsidRPr="007B2920">
        <w:rPr>
          <w:lang w:val="en-US"/>
        </w:rPr>
        <w:t xml:space="preserve"> to</w:t>
      </w:r>
      <w:r w:rsidRPr="007B2920">
        <w:rPr>
          <w:lang w:val="en-US"/>
        </w:rPr>
        <w:t xml:space="preserve"> </w:t>
      </w:r>
      <w:proofErr w:type="spellStart"/>
      <w:r w:rsidRPr="007B2920">
        <w:t>info@</w:t>
      </w:r>
      <w:r w:rsidR="004A7C8F" w:rsidRPr="007B2920">
        <w:rPr>
          <w:lang w:val="en-US"/>
        </w:rPr>
        <w:t>GeneralElectric</w:t>
      </w:r>
      <w:r w:rsidR="00972135" w:rsidRPr="007B2920">
        <w:rPr>
          <w:lang w:val="en-US"/>
        </w:rPr>
        <w:t>SecuritiesLitigation</w:t>
      </w:r>
      <w:proofErr w:type="spellEnd"/>
      <w:r w:rsidRPr="007B2920">
        <w:t>.com.</w:t>
      </w:r>
      <w:r w:rsidRPr="007B2920">
        <w:rPr>
          <w:lang w:val="en-US"/>
        </w:rPr>
        <w:t xml:space="preserve"> </w:t>
      </w:r>
      <w:r w:rsidRPr="007B2920">
        <w:rPr>
          <w:b/>
        </w:rPr>
        <w:t xml:space="preserve">Please retain all records of your ownership of and transactions in </w:t>
      </w:r>
      <w:r w:rsidR="004A7C8F" w:rsidRPr="007B2920">
        <w:rPr>
          <w:b/>
          <w:lang w:val="en-US"/>
        </w:rPr>
        <w:t>GE</w:t>
      </w:r>
      <w:r w:rsidR="004C7C92" w:rsidRPr="007B2920">
        <w:rPr>
          <w:b/>
          <w:lang w:val="en-US"/>
        </w:rPr>
        <w:t xml:space="preserve"> common stock</w:t>
      </w:r>
      <w:r w:rsidRPr="007B2920">
        <w:rPr>
          <w:b/>
        </w:rPr>
        <w:t>, as they may be needed to document your Claim.</w:t>
      </w:r>
      <w:r w:rsidRPr="007B2920">
        <w:rPr>
          <w:lang w:val="en-US"/>
        </w:rPr>
        <w:t xml:space="preserve"> </w:t>
      </w:r>
      <w:r w:rsidR="004C7C92" w:rsidRPr="007B2920">
        <w:rPr>
          <w:lang w:val="en-US"/>
        </w:rPr>
        <w:t>If you</w:t>
      </w:r>
      <w:r w:rsidR="004A7C8F" w:rsidRPr="007B2920">
        <w:rPr>
          <w:lang w:val="en-US"/>
        </w:rPr>
        <w:t xml:space="preserve"> previously</w:t>
      </w:r>
      <w:r w:rsidR="004C7C92" w:rsidRPr="007B2920">
        <w:rPr>
          <w:lang w:val="en-US"/>
        </w:rPr>
        <w:t xml:space="preserve"> exclu</w:t>
      </w:r>
      <w:r w:rsidR="004A7C8F" w:rsidRPr="007B2920">
        <w:rPr>
          <w:lang w:val="en-US"/>
        </w:rPr>
        <w:t>ded yourself</w:t>
      </w:r>
      <w:r w:rsidR="004C7C92" w:rsidRPr="007B2920">
        <w:rPr>
          <w:lang w:val="en-US"/>
        </w:rPr>
        <w:t xml:space="preserve"> from the Class </w:t>
      </w:r>
      <w:r w:rsidR="004A7C8F" w:rsidRPr="007B2920">
        <w:rPr>
          <w:lang w:val="en-US"/>
        </w:rPr>
        <w:t xml:space="preserve">in connection with Class Notice and do not opt back into the Class pursuant to the instructions set forth below at ¶ </w:t>
      </w:r>
      <w:r w:rsidR="006A571A" w:rsidRPr="007B2920">
        <w:rPr>
          <w:lang w:val="en-US"/>
        </w:rPr>
        <w:t>66</w:t>
      </w:r>
      <w:r w:rsidR="004C7C92" w:rsidRPr="007B2920">
        <w:rPr>
          <w:lang w:val="en-US"/>
        </w:rPr>
        <w:t>, you will not be eligible to share in the Net Settlement Fund</w:t>
      </w:r>
      <w:r w:rsidR="004A7C8F" w:rsidRPr="007B2920">
        <w:rPr>
          <w:lang w:val="en-US"/>
        </w:rPr>
        <w:t>.</w:t>
      </w: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450"/>
      </w:tblGrid>
      <w:tr w:rsidR="00C208DC" w:rsidRPr="007B2920" w14:paraId="12A84582" w14:textId="77777777">
        <w:trPr>
          <w:jc w:val="center"/>
        </w:trPr>
        <w:tc>
          <w:tcPr>
            <w:tcW w:w="9450" w:type="dxa"/>
            <w:shd w:val="clear" w:color="auto" w:fill="E0E0E0"/>
          </w:tcPr>
          <w:p w14:paraId="3A98CAC9" w14:textId="77777777" w:rsidR="008B1B77" w:rsidRPr="007B2920" w:rsidRDefault="00670596" w:rsidP="00084138">
            <w:pPr>
              <w:keepNext/>
              <w:tabs>
                <w:tab w:val="left" w:pos="-180"/>
              </w:tabs>
              <w:spacing w:before="60" w:after="60"/>
              <w:jc w:val="center"/>
              <w:rPr>
                <w:b/>
              </w:rPr>
            </w:pPr>
            <w:r w:rsidRPr="007B2920">
              <w:rPr>
                <w:b/>
              </w:rPr>
              <w:t>HOW MUCH WILL MY PAYMENT BE?</w:t>
            </w:r>
          </w:p>
        </w:tc>
      </w:tr>
    </w:tbl>
    <w:p w14:paraId="6B16E0BF" w14:textId="0327A047" w:rsidR="00E23739" w:rsidRPr="007B2920" w:rsidRDefault="00670596" w:rsidP="003751CA">
      <w:pPr>
        <w:pStyle w:val="Heading1"/>
        <w:tabs>
          <w:tab w:val="clear" w:pos="2160"/>
        </w:tabs>
        <w:spacing w:before="120" w:after="120"/>
        <w:ind w:left="0"/>
      </w:pPr>
      <w:r w:rsidRPr="007B2920">
        <w:t>At this time, it is not possible to make any determination as to how much any individual Class Member may receive from the Settlement.</w:t>
      </w:r>
    </w:p>
    <w:p w14:paraId="7A3B05F2" w14:textId="2C264CC0" w:rsidR="00E23739" w:rsidRPr="007B2920" w:rsidRDefault="00670596" w:rsidP="003751CA">
      <w:pPr>
        <w:pStyle w:val="Heading1"/>
        <w:tabs>
          <w:tab w:val="clear" w:pos="2160"/>
        </w:tabs>
        <w:spacing w:before="120" w:after="120"/>
        <w:ind w:left="0"/>
      </w:pPr>
      <w:r w:rsidRPr="007B2920">
        <w:t xml:space="preserve">Pursuant to the Settlement, </w:t>
      </w:r>
      <w:r w:rsidRPr="007B2920">
        <w:rPr>
          <w:szCs w:val="28"/>
        </w:rPr>
        <w:t>Defendants shall pay or cause to be paid a total of $</w:t>
      </w:r>
      <w:r w:rsidR="004A7C8F" w:rsidRPr="007B2920">
        <w:rPr>
          <w:szCs w:val="28"/>
          <w:lang w:val="en-US"/>
        </w:rPr>
        <w:t>362,5</w:t>
      </w:r>
      <w:r w:rsidRPr="007B2920">
        <w:rPr>
          <w:szCs w:val="28"/>
          <w:lang w:val="en-US"/>
        </w:rPr>
        <w:t>00</w:t>
      </w:r>
      <w:r w:rsidRPr="007B2920">
        <w:rPr>
          <w:szCs w:val="28"/>
        </w:rPr>
        <w:t xml:space="preserve">,000 in cash. </w:t>
      </w:r>
      <w:r w:rsidRPr="007B2920">
        <w:t xml:space="preserve">The Settlement Amount will be deposited into an escrow account. The Settlement Amount plus any interest earned thereon is referred to as the “Settlement Fund.” If the Settlement is approved by the Court and the Effective Date occurs, the “Net Settlement Fund” (that is, the Settlement Fund less: </w:t>
      </w:r>
      <w:r w:rsidRPr="007B2920">
        <w:rPr>
          <w:szCs w:val="28"/>
        </w:rPr>
        <w:t>(</w:t>
      </w:r>
      <w:proofErr w:type="spellStart"/>
      <w:r w:rsidRPr="007B2920">
        <w:rPr>
          <w:szCs w:val="28"/>
        </w:rPr>
        <w:t>i</w:t>
      </w:r>
      <w:proofErr w:type="spellEnd"/>
      <w:r w:rsidRPr="007B2920">
        <w:rPr>
          <w:szCs w:val="28"/>
        </w:rPr>
        <w:t xml:space="preserve">) any Taxes; (ii) any Notice and Administration Costs; (iii) any </w:t>
      </w:r>
      <w:r w:rsidRPr="007B2920">
        <w:rPr>
          <w:szCs w:val="28"/>
        </w:rPr>
        <w:lastRenderedPageBreak/>
        <w:t xml:space="preserve">Litigation Expenses awarded by the Court; (iv) any attorneys’ fees awarded by the Court; and (v) any other costs or fees approved by the Court) </w:t>
      </w:r>
      <w:r w:rsidRPr="007B2920">
        <w:t>will be distributed to Class Members who submit valid Claim Forms, in accordance with the proposed Plan of Allocation or such other plan of allocation as the Court may approve.</w:t>
      </w:r>
    </w:p>
    <w:p w14:paraId="6CCC1504" w14:textId="77777777" w:rsidR="00E23739" w:rsidRPr="007B2920" w:rsidRDefault="00670596" w:rsidP="003751CA">
      <w:pPr>
        <w:pStyle w:val="Heading1"/>
        <w:tabs>
          <w:tab w:val="clear" w:pos="2160"/>
        </w:tabs>
        <w:spacing w:before="120" w:after="120"/>
        <w:ind w:left="0"/>
      </w:pPr>
      <w:r w:rsidRPr="007B2920">
        <w:t>Approval of the Settlement is independent from approval of a plan of allocation.  Any determination with respect to the Plan of Allocation set forth in Appendix A, or another plan of allocation, will not affect the Settlement, if approved.</w:t>
      </w:r>
    </w:p>
    <w:p w14:paraId="6AF2071F" w14:textId="545B2230" w:rsidR="00E23739" w:rsidRPr="007B2920" w:rsidRDefault="00670596" w:rsidP="003751CA">
      <w:pPr>
        <w:pStyle w:val="Heading1"/>
        <w:tabs>
          <w:tab w:val="clear" w:pos="2160"/>
        </w:tabs>
        <w:spacing w:before="120" w:after="120"/>
        <w:ind w:left="0"/>
      </w:pPr>
      <w:r w:rsidRPr="007B2920">
        <w:t>Once the Court’s order or judgment approving the Settlement becomes Final and the Effective Date has occurred, no Defendant, Defendants’ Releasee, or any other person or entity who or which paid any portion of the Settlement Amount on Defendants’ behalf are entitled to get back any portion of the Settlement Fund. Defendants shall not have any liability, obligation, or responsibility for the administration of the Settlement, the disbursement of the Net Settlement Fund, or the plan of allocation.</w:t>
      </w:r>
    </w:p>
    <w:p w14:paraId="4D129CBF" w14:textId="259BCC50" w:rsidR="00E23739" w:rsidRPr="007B2920" w:rsidRDefault="00670596" w:rsidP="003751CA">
      <w:pPr>
        <w:pStyle w:val="Heading1"/>
        <w:tabs>
          <w:tab w:val="clear" w:pos="2160"/>
        </w:tabs>
        <w:spacing w:before="120" w:after="120"/>
        <w:ind w:left="0"/>
      </w:pPr>
      <w:r w:rsidRPr="007B2920">
        <w:t>Unless the Court otherwise orders, any Class Member who fails to submit a Claim Form postmarked or received on or before</w:t>
      </w:r>
      <w:r w:rsidR="006D419D">
        <w:t xml:space="preserve"> June 20</w:t>
      </w:r>
      <w:r w:rsidRPr="007B2920">
        <w:t>, 20</w:t>
      </w:r>
      <w:r w:rsidR="004A7C8F" w:rsidRPr="007B2920">
        <w:rPr>
          <w:lang w:val="en-US"/>
        </w:rPr>
        <w:t>25</w:t>
      </w:r>
      <w:r w:rsidRPr="007B2920">
        <w:t xml:space="preserve"> shall be fully and forever barred from receiving payments pursuant to the Settlement but will in all other respects remain a Class Member and be subject to the provisions of the Stipulation, including the terms of any Judgment entered and the Releases given.</w:t>
      </w:r>
    </w:p>
    <w:p w14:paraId="74399B20" w14:textId="382013F5" w:rsidR="00391FEF" w:rsidRPr="007B2920" w:rsidRDefault="00670596" w:rsidP="003751CA">
      <w:pPr>
        <w:pStyle w:val="Heading1"/>
        <w:tabs>
          <w:tab w:val="clear" w:pos="2160"/>
        </w:tabs>
        <w:spacing w:before="120" w:after="120"/>
        <w:ind w:left="0"/>
      </w:pPr>
      <w:r w:rsidRPr="007B2920">
        <w:t>Participants in and beneficiaries of any employee retirement and/or benefit plan</w:t>
      </w:r>
      <w:r w:rsidR="00354A7C" w:rsidRPr="007B2920">
        <w:rPr>
          <w:lang w:val="en-US"/>
        </w:rPr>
        <w:t xml:space="preserve"> </w:t>
      </w:r>
      <w:r w:rsidR="00354A7C" w:rsidRPr="007B2920">
        <w:t>covered by the Employee Retirement Income Security Act of 1974</w:t>
      </w:r>
      <w:r w:rsidRPr="007B2920">
        <w:t xml:space="preserve"> (“Employee Plan”) should NOT include any information relating to </w:t>
      </w:r>
      <w:r w:rsidR="004A7C8F" w:rsidRPr="007B2920">
        <w:rPr>
          <w:lang w:val="en-US"/>
        </w:rPr>
        <w:t>GE</w:t>
      </w:r>
      <w:r w:rsidRPr="007B2920">
        <w:rPr>
          <w:lang w:val="en-US"/>
        </w:rPr>
        <w:t xml:space="preserve"> </w:t>
      </w:r>
      <w:r w:rsidR="004A7C8F" w:rsidRPr="007B2920">
        <w:rPr>
          <w:lang w:val="en-US"/>
        </w:rPr>
        <w:t>common stock</w:t>
      </w:r>
      <w:r w:rsidRPr="007B2920">
        <w:rPr>
          <w:lang w:val="en-US"/>
        </w:rPr>
        <w:t xml:space="preserve"> </w:t>
      </w:r>
      <w:proofErr w:type="spellStart"/>
      <w:r w:rsidRPr="007B2920">
        <w:rPr>
          <w:lang w:val="en-US"/>
        </w:rPr>
        <w:t>pu</w:t>
      </w:r>
      <w:r w:rsidR="00906D3F" w:rsidRPr="007B2920">
        <w:rPr>
          <w:lang w:val="en-US"/>
        </w:rPr>
        <w:t>r</w:t>
      </w:r>
      <w:r w:rsidRPr="007B2920">
        <w:rPr>
          <w:lang w:val="en-US"/>
        </w:rPr>
        <w:t>c</w:t>
      </w:r>
      <w:r w:rsidRPr="007B2920">
        <w:t>hased</w:t>
      </w:r>
      <w:proofErr w:type="spellEnd"/>
      <w:r w:rsidRPr="007B2920">
        <w:t>/acquired</w:t>
      </w:r>
      <w:r w:rsidRPr="007B2920">
        <w:rPr>
          <w:lang w:val="en-US"/>
        </w:rPr>
        <w:t>/sold</w:t>
      </w:r>
      <w:r w:rsidRPr="007B2920">
        <w:t xml:space="preserve"> through an Employee Plan in any Claim Form they submit in this Action. They should include ONLY those </w:t>
      </w:r>
      <w:r w:rsidRPr="007B2920">
        <w:rPr>
          <w:lang w:val="en-US"/>
        </w:rPr>
        <w:t xml:space="preserve">eligible </w:t>
      </w:r>
      <w:r w:rsidR="004A7C8F" w:rsidRPr="007B2920">
        <w:rPr>
          <w:lang w:val="en-US"/>
        </w:rPr>
        <w:t>GE</w:t>
      </w:r>
      <w:r w:rsidRPr="007B2920">
        <w:rPr>
          <w:lang w:val="en-US"/>
        </w:rPr>
        <w:t xml:space="preserve"> </w:t>
      </w:r>
      <w:r w:rsidR="004A7C8F" w:rsidRPr="007B2920">
        <w:rPr>
          <w:lang w:val="en-US"/>
        </w:rPr>
        <w:t>common stock</w:t>
      </w:r>
      <w:r w:rsidRPr="007B2920">
        <w:rPr>
          <w:lang w:val="en-US"/>
        </w:rPr>
        <w:t xml:space="preserve"> </w:t>
      </w:r>
      <w:r w:rsidRPr="007B2920">
        <w:t>purchased/acquired</w:t>
      </w:r>
      <w:r w:rsidRPr="007B2920">
        <w:rPr>
          <w:lang w:val="en-US"/>
        </w:rPr>
        <w:t>/sold</w:t>
      </w:r>
      <w:r w:rsidRPr="007B2920">
        <w:t xml:space="preserve"> during the Class Period outside of an Employee Plan. Claims based on any Employee Plan(s)’ purchases/acquisitions</w:t>
      </w:r>
      <w:r w:rsidRPr="007B2920">
        <w:rPr>
          <w:lang w:val="en-US"/>
        </w:rPr>
        <w:t>/sales</w:t>
      </w:r>
      <w:r w:rsidRPr="007B2920">
        <w:t xml:space="preserve"> of eligible </w:t>
      </w:r>
      <w:r w:rsidR="004A7C8F" w:rsidRPr="007B2920">
        <w:rPr>
          <w:lang w:val="en-US"/>
        </w:rPr>
        <w:t>GE common stock</w:t>
      </w:r>
      <w:r w:rsidRPr="007B2920">
        <w:t xml:space="preserve"> during the Class Period may be made by the Employee Plan(s)’ trustees. </w:t>
      </w:r>
    </w:p>
    <w:p w14:paraId="1AA7B2C7" w14:textId="41AA70F3" w:rsidR="00391FEF" w:rsidRPr="007B2920" w:rsidRDefault="00670596" w:rsidP="003751CA">
      <w:pPr>
        <w:pStyle w:val="Heading1"/>
        <w:tabs>
          <w:tab w:val="clear" w:pos="2160"/>
        </w:tabs>
        <w:spacing w:before="120" w:after="120"/>
        <w:ind w:left="0"/>
      </w:pPr>
      <w:r w:rsidRPr="007B2920">
        <w:t xml:space="preserve">The Court has reserved jurisdiction to allow, disallow, or adjust on equitable grounds the Claim of any Class Member.  </w:t>
      </w:r>
    </w:p>
    <w:p w14:paraId="0A587F08" w14:textId="77777777" w:rsidR="00391FEF" w:rsidRPr="007B2920" w:rsidRDefault="00670596" w:rsidP="003751CA">
      <w:pPr>
        <w:pStyle w:val="Heading1"/>
        <w:tabs>
          <w:tab w:val="clear" w:pos="2160"/>
        </w:tabs>
        <w:spacing w:before="120" w:after="120"/>
        <w:ind w:left="0"/>
      </w:pPr>
      <w:r w:rsidRPr="007B2920">
        <w:t>Each Claimant shall be deemed to have submitted to the jurisdiction of the Court with respect to his, her, or its Claim.</w:t>
      </w:r>
    </w:p>
    <w:p w14:paraId="2DD6A3C7" w14:textId="1FB8656E" w:rsidR="00391FEF" w:rsidRPr="007B2920" w:rsidRDefault="00670596" w:rsidP="003751CA">
      <w:pPr>
        <w:pStyle w:val="Heading1"/>
        <w:tabs>
          <w:tab w:val="clear" w:pos="2160"/>
        </w:tabs>
        <w:spacing w:before="120" w:after="120"/>
        <w:ind w:left="0"/>
      </w:pPr>
      <w:r w:rsidRPr="007B2920">
        <w:t xml:space="preserve">Only Class Members, </w:t>
      </w:r>
      <w:r w:rsidRPr="007B2920">
        <w:rPr>
          <w:i/>
        </w:rPr>
        <w:t>i.e.</w:t>
      </w:r>
      <w:r w:rsidRPr="007B2920">
        <w:t xml:space="preserve">, persons </w:t>
      </w:r>
      <w:r w:rsidRPr="007B2920">
        <w:rPr>
          <w:lang w:val="en-US"/>
        </w:rPr>
        <w:t>or</w:t>
      </w:r>
      <w:r w:rsidRPr="007B2920">
        <w:t xml:space="preserve"> entities who purchased or acquired </w:t>
      </w:r>
      <w:r w:rsidR="004A7C8F" w:rsidRPr="007B2920">
        <w:rPr>
          <w:lang w:val="en-US"/>
        </w:rPr>
        <w:t>GE</w:t>
      </w:r>
      <w:r w:rsidRPr="007B2920">
        <w:t xml:space="preserve"> common stock during the Class Period and were damaged as a result of such purchases, acquisitions</w:t>
      </w:r>
      <w:r w:rsidRPr="007B2920">
        <w:rPr>
          <w:lang w:val="en-US"/>
        </w:rPr>
        <w:t xml:space="preserve"> and/or sales</w:t>
      </w:r>
      <w:r w:rsidRPr="007B2920">
        <w:t xml:space="preserve">, will be eligible to share in the distribution of the Net Settlement Fund. Persons and entities that are excluded from the Class by definition or </w:t>
      </w:r>
      <w:r w:rsidR="004A7C8F" w:rsidRPr="007B2920">
        <w:rPr>
          <w:lang w:val="en-US"/>
        </w:rPr>
        <w:t>previously</w:t>
      </w:r>
      <w:r w:rsidRPr="007B2920">
        <w:t xml:space="preserve"> </w:t>
      </w:r>
      <w:r w:rsidR="004A7C8F" w:rsidRPr="007B2920">
        <w:rPr>
          <w:lang w:val="en-US"/>
        </w:rPr>
        <w:t xml:space="preserve">requested to </w:t>
      </w:r>
      <w:r w:rsidRPr="007B2920">
        <w:t xml:space="preserve">exclude themselves from the Class pursuant to </w:t>
      </w:r>
      <w:r w:rsidR="004A7C8F" w:rsidRPr="007B2920">
        <w:rPr>
          <w:lang w:val="en-US"/>
        </w:rPr>
        <w:t xml:space="preserve">Class Notice and did not </w:t>
      </w:r>
      <w:r w:rsidR="00214806" w:rsidRPr="007B2920">
        <w:rPr>
          <w:lang w:val="en-US"/>
        </w:rPr>
        <w:t xml:space="preserve">submit a </w:t>
      </w:r>
      <w:r w:rsidR="004A7C8F" w:rsidRPr="007B2920">
        <w:rPr>
          <w:lang w:val="en-US"/>
        </w:rPr>
        <w:t>request to opt back into the Class in accordance with the instructions set forth in this Notice</w:t>
      </w:r>
      <w:r w:rsidRPr="007B2920">
        <w:t xml:space="preserve"> will not be eligible to receive a distribution from the Net Settlement Fund and should not submit Claim Forms.</w:t>
      </w:r>
    </w:p>
    <w:p w14:paraId="0FC2A258" w14:textId="5B475CD1" w:rsidR="00E23739" w:rsidRPr="007B2920" w:rsidRDefault="00670596" w:rsidP="00292F31">
      <w:pPr>
        <w:pStyle w:val="Heading1"/>
        <w:tabs>
          <w:tab w:val="clear" w:pos="2160"/>
        </w:tabs>
        <w:spacing w:before="120"/>
        <w:ind w:left="0"/>
        <w:rPr>
          <w:b/>
          <w:color w:val="000000"/>
        </w:rPr>
      </w:pPr>
      <w:r w:rsidRPr="007B2920">
        <w:rPr>
          <w:b/>
          <w:color w:val="000000"/>
        </w:rPr>
        <w:t xml:space="preserve">Appendix A to this Notice sets forth the Plan of Allocation for allocating the Net Settlement Fund among Authorized </w:t>
      </w:r>
      <w:r w:rsidRPr="007B2920">
        <w:rPr>
          <w:b/>
        </w:rPr>
        <w:t>Claimants</w:t>
      </w:r>
      <w:r w:rsidRPr="007B2920">
        <w:rPr>
          <w:b/>
          <w:color w:val="000000"/>
        </w:rPr>
        <w:t xml:space="preserve">, as proposed by </w:t>
      </w:r>
      <w:r w:rsidR="004A7C8F" w:rsidRPr="007B2920">
        <w:rPr>
          <w:b/>
          <w:color w:val="000000"/>
          <w:lang w:val="en-US"/>
        </w:rPr>
        <w:t>Class Representatives</w:t>
      </w:r>
      <w:r w:rsidRPr="007B2920">
        <w:rPr>
          <w:b/>
          <w:color w:val="000000"/>
        </w:rPr>
        <w:t xml:space="preserve"> and </w:t>
      </w:r>
      <w:r w:rsidR="004A7C8F" w:rsidRPr="007B2920">
        <w:rPr>
          <w:b/>
          <w:color w:val="000000"/>
          <w:lang w:val="en-US"/>
        </w:rPr>
        <w:t>Class</w:t>
      </w:r>
      <w:r w:rsidRPr="007B2920">
        <w:rPr>
          <w:b/>
          <w:color w:val="000000"/>
        </w:rPr>
        <w:t xml:space="preserve"> Counsel. At the Settlement Hearing, </w:t>
      </w:r>
      <w:r w:rsidR="004A7C8F" w:rsidRPr="007B2920">
        <w:rPr>
          <w:b/>
          <w:color w:val="000000"/>
          <w:lang w:val="en-US"/>
        </w:rPr>
        <w:t xml:space="preserve">Class </w:t>
      </w:r>
      <w:r w:rsidRPr="007B2920">
        <w:rPr>
          <w:b/>
          <w:color w:val="000000"/>
        </w:rPr>
        <w:t xml:space="preserve">Counsel will request the Court approve the Plan of Allocation. The Court may modify the Plan of Allocation, or approve a different plan of allocation, without further notice to the Class. </w:t>
      </w:r>
    </w:p>
    <w:tbl>
      <w:tblPr>
        <w:tblW w:w="9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473"/>
      </w:tblGrid>
      <w:tr w:rsidR="00C208DC" w:rsidRPr="007B2920" w14:paraId="4D969873" w14:textId="77777777">
        <w:trPr>
          <w:jc w:val="center"/>
        </w:trPr>
        <w:tc>
          <w:tcPr>
            <w:tcW w:w="9473" w:type="dxa"/>
            <w:shd w:val="clear" w:color="auto" w:fill="E0E0E0"/>
          </w:tcPr>
          <w:p w14:paraId="364537A4" w14:textId="77777777" w:rsidR="004A7C8F" w:rsidRPr="007B2920" w:rsidRDefault="00670596" w:rsidP="00084138">
            <w:pPr>
              <w:keepNext/>
              <w:tabs>
                <w:tab w:val="left" w:pos="-180"/>
              </w:tabs>
              <w:spacing w:before="60"/>
              <w:jc w:val="center"/>
              <w:rPr>
                <w:b/>
              </w:rPr>
            </w:pPr>
            <w:r w:rsidRPr="007B2920">
              <w:rPr>
                <w:b/>
              </w:rPr>
              <w:lastRenderedPageBreak/>
              <w:t xml:space="preserve">WHAT PAYMENT ARE THE ATTORNEYS FOR THE CLASS SEEKING?  </w:t>
            </w:r>
          </w:p>
          <w:p w14:paraId="3AB5053C" w14:textId="0AA9FC6A" w:rsidR="008B1B77" w:rsidRPr="007B2920" w:rsidRDefault="00670596" w:rsidP="00084138">
            <w:pPr>
              <w:keepNext/>
              <w:tabs>
                <w:tab w:val="left" w:pos="-180"/>
              </w:tabs>
              <w:spacing w:after="60"/>
              <w:jc w:val="center"/>
              <w:rPr>
                <w:b/>
              </w:rPr>
            </w:pPr>
            <w:r w:rsidRPr="007B2920">
              <w:rPr>
                <w:b/>
              </w:rPr>
              <w:t>HOW WILL THE LAWYERS BE PAID?</w:t>
            </w:r>
          </w:p>
        </w:tc>
      </w:tr>
    </w:tbl>
    <w:p w14:paraId="0974EBFB" w14:textId="2157B415" w:rsidR="00391FEF" w:rsidRPr="007B2920" w:rsidRDefault="00670596" w:rsidP="003751CA">
      <w:pPr>
        <w:pStyle w:val="Heading1"/>
        <w:tabs>
          <w:tab w:val="clear" w:pos="2160"/>
        </w:tabs>
        <w:spacing w:before="120" w:after="120"/>
        <w:ind w:left="0"/>
      </w:pPr>
      <w:r w:rsidRPr="007B2920">
        <w:rPr>
          <w:lang w:val="en-US"/>
        </w:rPr>
        <w:t xml:space="preserve">Counsel </w:t>
      </w:r>
      <w:r w:rsidR="00E404F6" w:rsidRPr="007B2920">
        <w:t>ha</w:t>
      </w:r>
      <w:r w:rsidRPr="007B2920">
        <w:rPr>
          <w:lang w:val="en-US"/>
        </w:rPr>
        <w:t>ve</w:t>
      </w:r>
      <w:r w:rsidR="00E404F6" w:rsidRPr="007B2920">
        <w:t xml:space="preserve"> not received any payment for </w:t>
      </w:r>
      <w:r w:rsidRPr="007B2920">
        <w:rPr>
          <w:lang w:val="en-US"/>
        </w:rPr>
        <w:t xml:space="preserve">their </w:t>
      </w:r>
      <w:r w:rsidR="00E404F6" w:rsidRPr="007B2920">
        <w:t xml:space="preserve">services in pursuing claims against the Defendants on behalf of the Class, nor have </w:t>
      </w:r>
      <w:r w:rsidR="00214806" w:rsidRPr="007B2920">
        <w:rPr>
          <w:lang w:val="en-US"/>
        </w:rPr>
        <w:t>they</w:t>
      </w:r>
      <w:r w:rsidRPr="007B2920">
        <w:rPr>
          <w:lang w:val="en-US"/>
        </w:rPr>
        <w:t xml:space="preserve"> </w:t>
      </w:r>
      <w:r w:rsidR="00E404F6" w:rsidRPr="007B2920">
        <w:t xml:space="preserve">been reimbursed for their out-of-pocket expenses. Before final approval of the Settlement, </w:t>
      </w:r>
      <w:r w:rsidRPr="007B2920">
        <w:rPr>
          <w:lang w:val="en-US"/>
        </w:rPr>
        <w:t>Class</w:t>
      </w:r>
      <w:r w:rsidR="00E404F6" w:rsidRPr="007B2920">
        <w:t xml:space="preserve"> Counsel </w:t>
      </w:r>
      <w:r w:rsidR="008F4CA4" w:rsidRPr="007B2920">
        <w:t xml:space="preserve">and Liaison Counsel </w:t>
      </w:r>
      <w:r w:rsidR="00E404F6" w:rsidRPr="007B2920">
        <w:t xml:space="preserve">will apply to the Court for an award of attorneys’ fees </w:t>
      </w:r>
      <w:r w:rsidR="00566598" w:rsidRPr="007B2920">
        <w:rPr>
          <w:lang w:val="en-US"/>
        </w:rPr>
        <w:t>to Class Counsel, Liaison Counsel and additional counsel Labaton (</w:t>
      </w:r>
      <w:r w:rsidR="00566598" w:rsidRPr="007B2920">
        <w:rPr>
          <w:i/>
          <w:iCs/>
          <w:lang w:val="en-US"/>
        </w:rPr>
        <w:t xml:space="preserve">see </w:t>
      </w:r>
      <w:r w:rsidR="00566598" w:rsidRPr="007B2920">
        <w:rPr>
          <w:lang w:val="en-US"/>
        </w:rPr>
        <w:t xml:space="preserve">footnote 2 above) </w:t>
      </w:r>
      <w:r w:rsidR="00E404F6" w:rsidRPr="007B2920">
        <w:t xml:space="preserve">in an amount not to exceed </w:t>
      </w:r>
      <w:r w:rsidR="006A571A" w:rsidRPr="007B2920">
        <w:rPr>
          <w:lang w:val="en-US"/>
        </w:rPr>
        <w:t>25</w:t>
      </w:r>
      <w:r w:rsidR="00E404F6" w:rsidRPr="007B2920">
        <w:t xml:space="preserve">% of the Settlement Fund. At the same time, </w:t>
      </w:r>
      <w:r w:rsidRPr="007B2920">
        <w:rPr>
          <w:lang w:val="en-US"/>
        </w:rPr>
        <w:t>Class</w:t>
      </w:r>
      <w:r w:rsidR="00E404F6" w:rsidRPr="007B2920">
        <w:t xml:space="preserve"> Counsel </w:t>
      </w:r>
      <w:r w:rsidR="008F4CA4" w:rsidRPr="007B2920">
        <w:t xml:space="preserve">and Liaison Counsel </w:t>
      </w:r>
      <w:r w:rsidR="00E404F6" w:rsidRPr="007B2920">
        <w:t>also intend to apply for payment of Litigation Expenses in an amount not to exceed $</w:t>
      </w:r>
      <w:r w:rsidR="006A571A" w:rsidRPr="007B2920">
        <w:rPr>
          <w:lang w:val="en-US"/>
        </w:rPr>
        <w:t>10 million</w:t>
      </w:r>
      <w:r w:rsidR="00E404F6" w:rsidRPr="007B2920">
        <w:t xml:space="preserve">, which amount may include a request for reimbursement of the reasonable costs incurred by </w:t>
      </w:r>
      <w:r w:rsidRPr="007B2920">
        <w:rPr>
          <w:lang w:val="en-US"/>
        </w:rPr>
        <w:t>Class Representatives</w:t>
      </w:r>
      <w:r w:rsidR="00E404F6" w:rsidRPr="007B2920">
        <w:t xml:space="preserve"> directly related to their representation of the Class in accordance with 15 U.S.C. § 78u-4(a)(4). </w:t>
      </w:r>
    </w:p>
    <w:p w14:paraId="5547E390" w14:textId="32B478FA" w:rsidR="00391FEF" w:rsidRPr="007B2920" w:rsidRDefault="00670596" w:rsidP="00292F31">
      <w:pPr>
        <w:pStyle w:val="Heading1"/>
        <w:tabs>
          <w:tab w:val="clear" w:pos="2160"/>
        </w:tabs>
        <w:spacing w:before="120"/>
        <w:ind w:left="0"/>
      </w:pPr>
      <w:r w:rsidRPr="007B2920">
        <w:rPr>
          <w:lang w:val="en-US"/>
        </w:rPr>
        <w:t xml:space="preserve">Class </w:t>
      </w:r>
      <w:r w:rsidR="00E404F6" w:rsidRPr="007B2920">
        <w:t>Counsel’s motion for attorneys’ fees and Litigation Expenses will be filed by</w:t>
      </w:r>
      <w:r w:rsidR="009949CD">
        <w:t xml:space="preserve"> March 20</w:t>
      </w:r>
      <w:r w:rsidRPr="007B2920">
        <w:rPr>
          <w:lang w:val="en-US"/>
        </w:rPr>
        <w:t>,</w:t>
      </w:r>
      <w:r w:rsidR="002A4F8F" w:rsidRPr="007B2920">
        <w:t xml:space="preserve"> </w:t>
      </w:r>
      <w:r w:rsidR="00E404F6" w:rsidRPr="007B2920">
        <w:t>202</w:t>
      </w:r>
      <w:r w:rsidRPr="007B2920">
        <w:rPr>
          <w:lang w:val="en-US"/>
        </w:rPr>
        <w:t>5</w:t>
      </w:r>
      <w:r w:rsidR="00E404F6" w:rsidRPr="007B2920">
        <w:t xml:space="preserve">. A copy of </w:t>
      </w:r>
      <w:r w:rsidRPr="007B2920">
        <w:rPr>
          <w:lang w:val="en-US"/>
        </w:rPr>
        <w:t xml:space="preserve">Class </w:t>
      </w:r>
      <w:r w:rsidR="00E404F6" w:rsidRPr="007B2920">
        <w:t xml:space="preserve">Counsel’s motion will be available for review at </w:t>
      </w:r>
      <w:r w:rsidR="00E404F6" w:rsidRPr="007B2920">
        <w:rPr>
          <w:u w:val="single"/>
        </w:rPr>
        <w:t>www.</w:t>
      </w:r>
      <w:r w:rsidRPr="007B2920">
        <w:rPr>
          <w:u w:val="single"/>
          <w:lang w:val="en-US"/>
        </w:rPr>
        <w:t>GeneralElectric</w:t>
      </w:r>
      <w:r w:rsidR="008D3130" w:rsidRPr="007B2920">
        <w:rPr>
          <w:u w:val="single"/>
          <w:lang w:val="en-US"/>
        </w:rPr>
        <w:t>SecuritiesLitigation</w:t>
      </w:r>
      <w:r w:rsidR="00E404F6" w:rsidRPr="007B2920">
        <w:rPr>
          <w:u w:val="single"/>
        </w:rPr>
        <w:t>.com</w:t>
      </w:r>
      <w:r w:rsidR="00E404F6" w:rsidRPr="007B2920">
        <w:t xml:space="preserve"> once it is filed. The Court will determine the amount of any award of attorneys’ fees or Litigation Expenses. Such sums as may be approved by the Court will be paid from the Settlement Fund. </w:t>
      </w:r>
      <w:r w:rsidR="00E404F6" w:rsidRPr="007B2920">
        <w:rPr>
          <w:b/>
          <w:i/>
        </w:rPr>
        <w:t>Class Members are not personally liable for any such fees or expenses.</w:t>
      </w:r>
      <w:r w:rsidR="00E404F6" w:rsidRPr="007B2920">
        <w:t xml:space="preserve"> </w:t>
      </w:r>
    </w:p>
    <w:tbl>
      <w:tblPr>
        <w:tblW w:w="9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529"/>
      </w:tblGrid>
      <w:tr w:rsidR="00C208DC" w:rsidRPr="007B2920" w14:paraId="78DF701A" w14:textId="77777777" w:rsidTr="0036122A">
        <w:trPr>
          <w:jc w:val="center"/>
        </w:trPr>
        <w:tc>
          <w:tcPr>
            <w:tcW w:w="9529" w:type="dxa"/>
            <w:shd w:val="clear" w:color="auto" w:fill="E0E0E0"/>
          </w:tcPr>
          <w:p w14:paraId="41F1EB5F" w14:textId="2DCCCCC4" w:rsidR="00391FEF" w:rsidRPr="007B2920" w:rsidRDefault="00670596" w:rsidP="00084138">
            <w:pPr>
              <w:keepNext/>
              <w:tabs>
                <w:tab w:val="left" w:pos="-180"/>
              </w:tabs>
              <w:spacing w:before="60" w:after="60"/>
              <w:jc w:val="center"/>
              <w:rPr>
                <w:b/>
              </w:rPr>
            </w:pPr>
            <w:r w:rsidRPr="007B2920">
              <w:rPr>
                <w:b/>
              </w:rPr>
              <w:t xml:space="preserve">WHAT IF I PREVIOUSLY REQUESTED EXCLUSION FROM THE CLASS </w:t>
            </w:r>
            <w:r w:rsidR="00AA7D56">
              <w:rPr>
                <w:b/>
              </w:rPr>
              <w:br/>
            </w:r>
            <w:r w:rsidRPr="007B2920">
              <w:rPr>
                <w:b/>
              </w:rPr>
              <w:t xml:space="preserve">AND NOW WANT TO BE ELIGIBLE TO RECEIVE A PAYMENT FROM </w:t>
            </w:r>
            <w:r w:rsidR="00AA7D56">
              <w:rPr>
                <w:b/>
              </w:rPr>
              <w:br/>
            </w:r>
            <w:r w:rsidRPr="007B2920">
              <w:rPr>
                <w:b/>
              </w:rPr>
              <w:t>THE SETTLEMENT? HOW DO I OPT BACK INTO THE CLASS</w:t>
            </w:r>
            <w:r w:rsidR="00E404F6" w:rsidRPr="007B2920">
              <w:rPr>
                <w:b/>
              </w:rPr>
              <w:t>?</w:t>
            </w:r>
          </w:p>
        </w:tc>
      </w:tr>
    </w:tbl>
    <w:p w14:paraId="3DEA91AE" w14:textId="242567EB" w:rsidR="006A4E80" w:rsidRPr="007B2920" w:rsidRDefault="00670596" w:rsidP="003751CA">
      <w:pPr>
        <w:pStyle w:val="Heading1"/>
        <w:tabs>
          <w:tab w:val="clear" w:pos="2160"/>
        </w:tabs>
        <w:spacing w:before="120" w:after="120"/>
        <w:ind w:left="0"/>
      </w:pPr>
      <w:r w:rsidRPr="007B2920">
        <w:t>If you previously submitted a request for exclusion from the Class in connection with Class Notice (</w:t>
      </w:r>
      <w:r w:rsidRPr="007B2920">
        <w:rPr>
          <w:i/>
        </w:rPr>
        <w:t>see</w:t>
      </w:r>
      <w:r w:rsidRPr="007B2920">
        <w:t xml:space="preserve"> Appendix 1 to the Stipulation), you may elect to opt</w:t>
      </w:r>
      <w:r w:rsidR="00214806" w:rsidRPr="007B2920">
        <w:rPr>
          <w:lang w:val="en-US"/>
        </w:rPr>
        <w:t xml:space="preserve"> </w:t>
      </w:r>
      <w:r w:rsidRPr="007B2920">
        <w:t xml:space="preserve">back into the Class and be eligible to receive a payment from the Settlement.  </w:t>
      </w:r>
    </w:p>
    <w:p w14:paraId="2E004FDC" w14:textId="5D0487FB" w:rsidR="006A4E80" w:rsidRPr="007B2920" w:rsidRDefault="00670596" w:rsidP="003751CA">
      <w:pPr>
        <w:pStyle w:val="Heading1"/>
        <w:tabs>
          <w:tab w:val="clear" w:pos="2160"/>
        </w:tabs>
        <w:spacing w:before="120" w:after="120"/>
        <w:ind w:left="0"/>
      </w:pPr>
      <w:r w:rsidRPr="007B2920">
        <w:t xml:space="preserve">If you believe that you previously submitted a request for exclusion but your name does not appear on Appendix 1 to the Stipulation, you can contact the </w:t>
      </w:r>
      <w:r w:rsidRPr="007B2920">
        <w:rPr>
          <w:lang w:val="en-US"/>
        </w:rPr>
        <w:t>C</w:t>
      </w:r>
      <w:proofErr w:type="spellStart"/>
      <w:r w:rsidRPr="007B2920">
        <w:t>laims</w:t>
      </w:r>
      <w:proofErr w:type="spellEnd"/>
      <w:r w:rsidRPr="007B2920">
        <w:t xml:space="preserve"> </w:t>
      </w:r>
      <w:r w:rsidRPr="007B2920">
        <w:rPr>
          <w:lang w:val="en-US"/>
        </w:rPr>
        <w:t>A</w:t>
      </w:r>
      <w:proofErr w:type="spellStart"/>
      <w:r w:rsidRPr="007B2920">
        <w:t>dministrator</w:t>
      </w:r>
      <w:proofErr w:type="spellEnd"/>
      <w:r w:rsidRPr="007B2920">
        <w:t xml:space="preserve">, </w:t>
      </w:r>
      <w:r w:rsidRPr="007B2920">
        <w:rPr>
          <w:lang w:val="en-US"/>
        </w:rPr>
        <w:t>JND</w:t>
      </w:r>
      <w:r w:rsidRPr="007B2920">
        <w:t xml:space="preserve">, at </w:t>
      </w:r>
      <w:r w:rsidRPr="007B2920">
        <w:rPr>
          <w:color w:val="000000"/>
        </w:rPr>
        <w:t>1-</w:t>
      </w:r>
      <w:r w:rsidRPr="007B2920">
        <w:t>844-202-9485</w:t>
      </w:r>
      <w:r w:rsidRPr="007B2920">
        <w:rPr>
          <w:lang w:val="en-US"/>
        </w:rPr>
        <w:t xml:space="preserve"> </w:t>
      </w:r>
      <w:r w:rsidRPr="007B2920">
        <w:t>for assistance.</w:t>
      </w:r>
    </w:p>
    <w:p w14:paraId="4E15EFCD" w14:textId="325036C9" w:rsidR="006A4E80" w:rsidRPr="00865662" w:rsidRDefault="00670596" w:rsidP="003751CA">
      <w:pPr>
        <w:pStyle w:val="Heading1"/>
        <w:tabs>
          <w:tab w:val="clear" w:pos="2160"/>
        </w:tabs>
        <w:spacing w:before="120" w:after="120"/>
        <w:ind w:left="0"/>
        <w:rPr>
          <w:spacing w:val="-4"/>
        </w:rPr>
      </w:pPr>
      <w:r w:rsidRPr="00865662">
        <w:rPr>
          <w:spacing w:val="-4"/>
        </w:rPr>
        <w:t>In order to opt</w:t>
      </w:r>
      <w:r w:rsidRPr="00865662">
        <w:rPr>
          <w:spacing w:val="-4"/>
          <w:lang w:val="en-US"/>
        </w:rPr>
        <w:t xml:space="preserve"> </w:t>
      </w:r>
      <w:r w:rsidRPr="00865662">
        <w:rPr>
          <w:spacing w:val="-4"/>
        </w:rPr>
        <w:t xml:space="preserve">back into the Class, you, individually or through counsel, must submit a written </w:t>
      </w:r>
      <w:r w:rsidRPr="00865662">
        <w:rPr>
          <w:spacing w:val="-4"/>
          <w:lang w:val="en-US"/>
        </w:rPr>
        <w:t>r</w:t>
      </w:r>
      <w:proofErr w:type="spellStart"/>
      <w:r w:rsidRPr="00865662">
        <w:rPr>
          <w:spacing w:val="-4"/>
        </w:rPr>
        <w:t>equest</w:t>
      </w:r>
      <w:proofErr w:type="spellEnd"/>
      <w:r w:rsidRPr="00865662">
        <w:rPr>
          <w:spacing w:val="-4"/>
        </w:rPr>
        <w:t xml:space="preserve"> to </w:t>
      </w:r>
      <w:r w:rsidRPr="00865662">
        <w:rPr>
          <w:spacing w:val="-4"/>
          <w:lang w:val="en-US"/>
        </w:rPr>
        <w:t>o</w:t>
      </w:r>
      <w:r w:rsidRPr="00865662">
        <w:rPr>
          <w:spacing w:val="-4"/>
        </w:rPr>
        <w:t>pt</w:t>
      </w:r>
      <w:r w:rsidRPr="00865662">
        <w:rPr>
          <w:spacing w:val="-4"/>
          <w:lang w:val="en-US"/>
        </w:rPr>
        <w:t xml:space="preserve"> b</w:t>
      </w:r>
      <w:r w:rsidRPr="00865662">
        <w:rPr>
          <w:spacing w:val="-4"/>
        </w:rPr>
        <w:t xml:space="preserve">ack </w:t>
      </w:r>
      <w:r w:rsidRPr="00865662">
        <w:rPr>
          <w:spacing w:val="-4"/>
          <w:lang w:val="en-US"/>
        </w:rPr>
        <w:t>in</w:t>
      </w:r>
      <w:r w:rsidRPr="00865662">
        <w:rPr>
          <w:spacing w:val="-4"/>
        </w:rPr>
        <w:t xml:space="preserve">to the Class to </w:t>
      </w:r>
      <w:r w:rsidRPr="00865662">
        <w:rPr>
          <w:spacing w:val="-4"/>
          <w:lang w:val="en-US"/>
        </w:rPr>
        <w:t>JND</w:t>
      </w:r>
      <w:r w:rsidRPr="00865662">
        <w:rPr>
          <w:spacing w:val="-4"/>
        </w:rPr>
        <w:t xml:space="preserve">, addressed as follows: </w:t>
      </w:r>
      <w:r w:rsidRPr="00865662">
        <w:rPr>
          <w:i/>
          <w:color w:val="231F20"/>
          <w:spacing w:val="-4"/>
        </w:rPr>
        <w:t>General Electric Securities Litigation</w:t>
      </w:r>
      <w:r w:rsidRPr="00865662">
        <w:rPr>
          <w:iCs/>
          <w:color w:val="231F20"/>
          <w:spacing w:val="-4"/>
          <w:lang w:val="en-US"/>
        </w:rPr>
        <w:t xml:space="preserve">, </w:t>
      </w:r>
      <w:r w:rsidRPr="00865662">
        <w:rPr>
          <w:iCs/>
          <w:color w:val="231F20"/>
          <w:spacing w:val="-4"/>
        </w:rPr>
        <w:t>c/o JND Legal Administration</w:t>
      </w:r>
      <w:r w:rsidRPr="00865662">
        <w:rPr>
          <w:iCs/>
          <w:color w:val="231F20"/>
          <w:spacing w:val="-4"/>
          <w:lang w:val="en-US"/>
        </w:rPr>
        <w:t xml:space="preserve">, </w:t>
      </w:r>
      <w:r w:rsidRPr="00865662">
        <w:rPr>
          <w:iCs/>
          <w:color w:val="231F20"/>
          <w:spacing w:val="-4"/>
        </w:rPr>
        <w:t>P.O. Box 91449</w:t>
      </w:r>
      <w:r w:rsidRPr="00865662">
        <w:rPr>
          <w:iCs/>
          <w:color w:val="231F20"/>
          <w:spacing w:val="-4"/>
          <w:lang w:val="en-US"/>
        </w:rPr>
        <w:t xml:space="preserve">, </w:t>
      </w:r>
      <w:r w:rsidRPr="00865662">
        <w:rPr>
          <w:iCs/>
          <w:color w:val="231F20"/>
          <w:spacing w:val="-4"/>
        </w:rPr>
        <w:t>Seattle, WA 98111</w:t>
      </w:r>
      <w:r w:rsidRPr="00865662">
        <w:rPr>
          <w:spacing w:val="-4"/>
        </w:rPr>
        <w:t xml:space="preserve">. This request must be </w:t>
      </w:r>
      <w:r w:rsidRPr="00865662">
        <w:rPr>
          <w:b/>
          <w:bCs w:val="0"/>
          <w:i/>
          <w:spacing w:val="-4"/>
        </w:rPr>
        <w:t>received</w:t>
      </w:r>
      <w:r w:rsidRPr="00865662">
        <w:rPr>
          <w:b/>
          <w:bCs w:val="0"/>
          <w:spacing w:val="-4"/>
        </w:rPr>
        <w:t xml:space="preserve"> no later than</w:t>
      </w:r>
      <w:r w:rsidR="008D56C6">
        <w:rPr>
          <w:b/>
          <w:bCs w:val="0"/>
          <w:spacing w:val="-4"/>
        </w:rPr>
        <w:t xml:space="preserve"> </w:t>
      </w:r>
      <w:r w:rsidR="009949CD">
        <w:rPr>
          <w:b/>
          <w:bCs w:val="0"/>
          <w:spacing w:val="-4"/>
        </w:rPr>
        <w:t>April 3</w:t>
      </w:r>
      <w:r w:rsidRPr="00865662">
        <w:rPr>
          <w:b/>
          <w:bCs w:val="0"/>
          <w:spacing w:val="-4"/>
          <w:lang w:val="en-US"/>
        </w:rPr>
        <w:t>, 2025</w:t>
      </w:r>
      <w:r w:rsidRPr="00865662">
        <w:rPr>
          <w:spacing w:val="-4"/>
        </w:rPr>
        <w:t xml:space="preserve">. Your </w:t>
      </w:r>
      <w:r w:rsidRPr="00865662">
        <w:rPr>
          <w:spacing w:val="-4"/>
          <w:lang w:val="en-US"/>
        </w:rPr>
        <w:t xml:space="preserve">request to opt back into the </w:t>
      </w:r>
      <w:r w:rsidRPr="00865662">
        <w:rPr>
          <w:spacing w:val="-4"/>
        </w:rPr>
        <w:t>Class must</w:t>
      </w:r>
      <w:r w:rsidRPr="00865662">
        <w:rPr>
          <w:spacing w:val="-4"/>
          <w:lang w:val="en-US"/>
        </w:rPr>
        <w:t>:</w:t>
      </w:r>
      <w:r w:rsidRPr="00865662">
        <w:rPr>
          <w:spacing w:val="-4"/>
        </w:rPr>
        <w:t xml:space="preserve"> (a) state the name, address and telephone number of the person or entity requesting to opt</w:t>
      </w:r>
      <w:r w:rsidRPr="00865662">
        <w:rPr>
          <w:spacing w:val="-4"/>
          <w:lang w:val="en-US"/>
        </w:rPr>
        <w:t xml:space="preserve"> </w:t>
      </w:r>
      <w:r w:rsidRPr="00865662">
        <w:rPr>
          <w:spacing w:val="-4"/>
        </w:rPr>
        <w:t>back into the Class; (b) state that such person or entity “requests to opt</w:t>
      </w:r>
      <w:r w:rsidR="009D2F67" w:rsidRPr="00865662">
        <w:rPr>
          <w:spacing w:val="-4"/>
          <w:lang w:val="en-US"/>
        </w:rPr>
        <w:t xml:space="preserve"> </w:t>
      </w:r>
      <w:r w:rsidRPr="00865662">
        <w:rPr>
          <w:spacing w:val="-4"/>
        </w:rPr>
        <w:t xml:space="preserve">back into the Class in the </w:t>
      </w:r>
      <w:bookmarkStart w:id="8" w:name="_Hlk181568701"/>
      <w:proofErr w:type="spellStart"/>
      <w:r w:rsidR="009D2F67" w:rsidRPr="00865662">
        <w:rPr>
          <w:i/>
          <w:spacing w:val="-4"/>
        </w:rPr>
        <w:t>Sjunde</w:t>
      </w:r>
      <w:proofErr w:type="spellEnd"/>
      <w:r w:rsidR="009D2F67" w:rsidRPr="00865662">
        <w:rPr>
          <w:i/>
          <w:spacing w:val="-4"/>
        </w:rPr>
        <w:t xml:space="preserve"> AP-</w:t>
      </w:r>
      <w:proofErr w:type="spellStart"/>
      <w:r w:rsidR="009D2F67" w:rsidRPr="00865662">
        <w:rPr>
          <w:i/>
          <w:spacing w:val="-4"/>
        </w:rPr>
        <w:t>Fonden</w:t>
      </w:r>
      <w:proofErr w:type="spellEnd"/>
      <w:r w:rsidR="00214806" w:rsidRPr="00865662">
        <w:rPr>
          <w:i/>
          <w:spacing w:val="-4"/>
          <w:lang w:val="en-US"/>
        </w:rPr>
        <w:t>, et al.</w:t>
      </w:r>
      <w:r w:rsidR="009D2F67" w:rsidRPr="00865662">
        <w:rPr>
          <w:i/>
          <w:spacing w:val="-4"/>
        </w:rPr>
        <w:t xml:space="preserve"> v. General Electric Co., et al</w:t>
      </w:r>
      <w:r w:rsidR="00214806" w:rsidRPr="00865662">
        <w:rPr>
          <w:i/>
          <w:spacing w:val="-4"/>
          <w:lang w:val="en-US"/>
        </w:rPr>
        <w:t>.</w:t>
      </w:r>
      <w:r w:rsidR="009D2F67" w:rsidRPr="00865662">
        <w:rPr>
          <w:spacing w:val="-4"/>
        </w:rPr>
        <w:t>, Case No. 17 Civ 8457 (JMF) (GWG) (S.D.N.Y.)</w:t>
      </w:r>
      <w:bookmarkEnd w:id="8"/>
      <w:r w:rsidRPr="00865662">
        <w:rPr>
          <w:spacing w:val="-4"/>
        </w:rPr>
        <w:t>”; and (c) be signed by the person or entity requesting to opt</w:t>
      </w:r>
      <w:r w:rsidR="009D2F67" w:rsidRPr="00865662">
        <w:rPr>
          <w:spacing w:val="-4"/>
          <w:lang w:val="en-US"/>
        </w:rPr>
        <w:t xml:space="preserve"> </w:t>
      </w:r>
      <w:r w:rsidRPr="00865662">
        <w:rPr>
          <w:spacing w:val="-4"/>
        </w:rPr>
        <w:t>back into the Class or an authorized representative.</w:t>
      </w:r>
    </w:p>
    <w:p w14:paraId="03FC97D1" w14:textId="363BF624" w:rsidR="009D2F67" w:rsidRPr="007B2920" w:rsidRDefault="00670596" w:rsidP="003751CA">
      <w:pPr>
        <w:pStyle w:val="Heading1"/>
        <w:tabs>
          <w:tab w:val="clear" w:pos="2160"/>
        </w:tabs>
        <w:spacing w:before="120" w:after="120"/>
        <w:ind w:left="0"/>
      </w:pPr>
      <w:r w:rsidRPr="007B2920">
        <w:t xml:space="preserve">You may </w:t>
      </w:r>
      <w:r w:rsidRPr="007B2920">
        <w:rPr>
          <w:color w:val="231F20"/>
        </w:rPr>
        <w:t>not</w:t>
      </w:r>
      <w:r w:rsidRPr="007B2920">
        <w:t xml:space="preserve"> opt</w:t>
      </w:r>
      <w:r w:rsidR="00214806" w:rsidRPr="007B2920">
        <w:rPr>
          <w:lang w:val="en-US"/>
        </w:rPr>
        <w:t xml:space="preserve"> </w:t>
      </w:r>
      <w:r w:rsidRPr="007B2920">
        <w:t xml:space="preserve">back into the Class for the purpose of objecting to any aspect of the </w:t>
      </w:r>
      <w:r w:rsidR="00214806" w:rsidRPr="007B2920">
        <w:rPr>
          <w:lang w:val="en-US"/>
        </w:rPr>
        <w:t xml:space="preserve">proposed </w:t>
      </w:r>
      <w:r w:rsidRPr="007B2920">
        <w:t xml:space="preserve">Settlement, </w:t>
      </w:r>
      <w:r w:rsidR="00214806" w:rsidRPr="007B2920">
        <w:rPr>
          <w:lang w:val="en-US"/>
        </w:rPr>
        <w:t xml:space="preserve">proposed </w:t>
      </w:r>
      <w:r w:rsidRPr="007B2920">
        <w:t xml:space="preserve">Plan of Allocation, </w:t>
      </w:r>
      <w:r w:rsidR="00214806" w:rsidRPr="007B2920">
        <w:rPr>
          <w:lang w:val="en-US"/>
        </w:rPr>
        <w:t>and/</w:t>
      </w:r>
      <w:r w:rsidRPr="007B2920">
        <w:t xml:space="preserve">or </w:t>
      </w:r>
      <w:r w:rsidRPr="007B2920">
        <w:rPr>
          <w:lang w:val="en-US"/>
        </w:rPr>
        <w:t>Class</w:t>
      </w:r>
      <w:r w:rsidRPr="007B2920">
        <w:t xml:space="preserve"> Counsel’s request for attorneys’ fees and Litigation Expenses.</w:t>
      </w:r>
    </w:p>
    <w:p w14:paraId="37BB222E" w14:textId="5091F014" w:rsidR="006A4E80" w:rsidRPr="007B2920" w:rsidRDefault="00670596" w:rsidP="00292F31">
      <w:pPr>
        <w:pStyle w:val="Heading1"/>
        <w:tabs>
          <w:tab w:val="clear" w:pos="2160"/>
        </w:tabs>
        <w:spacing w:before="120"/>
        <w:ind w:left="0"/>
      </w:pPr>
      <w:r w:rsidRPr="007B2920">
        <w:rPr>
          <w:b/>
        </w:rPr>
        <w:t>PLEASE NOTE:  OPTING</w:t>
      </w:r>
      <w:r w:rsidR="009D2F67" w:rsidRPr="007B2920">
        <w:rPr>
          <w:b/>
          <w:lang w:val="en-US"/>
        </w:rPr>
        <w:t xml:space="preserve"> </w:t>
      </w:r>
      <w:r w:rsidRPr="007B2920">
        <w:rPr>
          <w:b/>
        </w:rPr>
        <w:t>BACK INTO THE CLASS IN ACCORDANCE WITH THE REQUIREMENTS SET FORTH ABOVE DOES NOT MEAN THAT YOU WILL AUTOMATICALLY BE ENTITLED TO RECEIVE PROCEEDS FROM THE SETTLEMENT. IF YOU OPT</w:t>
      </w:r>
      <w:r w:rsidR="009D2F67" w:rsidRPr="007B2920">
        <w:rPr>
          <w:b/>
          <w:lang w:val="en-US"/>
        </w:rPr>
        <w:t xml:space="preserve"> </w:t>
      </w:r>
      <w:r w:rsidRPr="007B2920">
        <w:rPr>
          <w:b/>
        </w:rPr>
        <w:t xml:space="preserve">BACK INTO THE CLASS AND YOU WISH TO BE ELIGIBLE TO PARTICIPATE IN THE DISTRIBUTION OF PROCEEDS FROM THE SETTLEMENT, YOU ARE ALSO REQUIRED TO SUBMIT </w:t>
      </w:r>
      <w:r w:rsidR="009D2F67" w:rsidRPr="007B2920">
        <w:rPr>
          <w:b/>
          <w:lang w:val="en-US"/>
        </w:rPr>
        <w:t xml:space="preserve">A </w:t>
      </w:r>
      <w:r w:rsidRPr="007B2920">
        <w:rPr>
          <w:b/>
        </w:rPr>
        <w:t xml:space="preserve">CLAIM AND THE </w:t>
      </w:r>
      <w:r w:rsidRPr="007B2920">
        <w:rPr>
          <w:b/>
        </w:rPr>
        <w:lastRenderedPageBreak/>
        <w:t xml:space="preserve">REQUIRED SUPPORTING DOCUMENTATION AS SET FORTH THEREIN POSTMARKED </w:t>
      </w:r>
      <w:r w:rsidR="009D2F67" w:rsidRPr="007B2920">
        <w:rPr>
          <w:b/>
          <w:lang w:val="en-US"/>
        </w:rPr>
        <w:t xml:space="preserve">(OR RECEVED) </w:t>
      </w:r>
      <w:r w:rsidRPr="007B2920">
        <w:rPr>
          <w:b/>
        </w:rPr>
        <w:t>NO LATER THAN</w:t>
      </w:r>
      <w:r w:rsidR="009949CD">
        <w:rPr>
          <w:b/>
        </w:rPr>
        <w:t xml:space="preserve"> JUNE 20</w:t>
      </w:r>
      <w:r w:rsidR="009D2F67" w:rsidRPr="007B2920">
        <w:rPr>
          <w:b/>
          <w:lang w:val="en-US"/>
        </w:rPr>
        <w:t>, 2025</w:t>
      </w:r>
      <w:r w:rsidRPr="007B2920">
        <w:rPr>
          <w:b/>
        </w:rPr>
        <w:t>.</w:t>
      </w:r>
    </w:p>
    <w:tbl>
      <w:tblPr>
        <w:tblW w:w="9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467"/>
      </w:tblGrid>
      <w:tr w:rsidR="00C208DC" w:rsidRPr="007B2920" w14:paraId="412F541E" w14:textId="77777777">
        <w:trPr>
          <w:jc w:val="center"/>
        </w:trPr>
        <w:tc>
          <w:tcPr>
            <w:tcW w:w="9467" w:type="dxa"/>
            <w:shd w:val="clear" w:color="auto" w:fill="E0E0E0"/>
          </w:tcPr>
          <w:p w14:paraId="2C57D912" w14:textId="15FC29F2" w:rsidR="008B1B77" w:rsidRPr="007B2920" w:rsidRDefault="00670596" w:rsidP="00084138">
            <w:pPr>
              <w:keepNext/>
              <w:spacing w:before="60" w:after="60"/>
              <w:jc w:val="center"/>
              <w:rPr>
                <w:b/>
              </w:rPr>
            </w:pPr>
            <w:r w:rsidRPr="007B2920">
              <w:rPr>
                <w:b/>
              </w:rPr>
              <w:t xml:space="preserve">WHEN AND WHERE WILL THE COURT DECIDE WHETHER TO </w:t>
            </w:r>
            <w:r w:rsidR="00AA7D56">
              <w:rPr>
                <w:b/>
              </w:rPr>
              <w:br/>
            </w:r>
            <w:r w:rsidRPr="007B2920">
              <w:rPr>
                <w:b/>
              </w:rPr>
              <w:t xml:space="preserve">APPROVE THE SETTLEMENT?  DO I HAVE TO COME TO THE HEARING?  </w:t>
            </w:r>
            <w:r w:rsidR="00AA7D56">
              <w:rPr>
                <w:b/>
              </w:rPr>
              <w:br/>
            </w:r>
            <w:r w:rsidRPr="007B2920">
              <w:rPr>
                <w:b/>
              </w:rPr>
              <w:t>MAY I SPEAK AT THE HEARING IF I DON’T LIKE THE SETTLEMENT?</w:t>
            </w:r>
          </w:p>
        </w:tc>
      </w:tr>
    </w:tbl>
    <w:p w14:paraId="258FF901" w14:textId="355E8AEF" w:rsidR="00CA639B" w:rsidRPr="007B2920" w:rsidRDefault="00670596" w:rsidP="003751CA">
      <w:pPr>
        <w:pStyle w:val="Heading1"/>
        <w:tabs>
          <w:tab w:val="clear" w:pos="2160"/>
        </w:tabs>
        <w:spacing w:before="120" w:after="120"/>
        <w:ind w:left="0"/>
        <w:rPr>
          <w:b/>
        </w:rPr>
      </w:pPr>
      <w:r w:rsidRPr="007B2920">
        <w:rPr>
          <w:b/>
        </w:rPr>
        <w:t>Class Members do not need to attend the Settlement Hearing. The Court will consider any submission made in accordance with the provisions below even if a Class Member does not attend the hearing. You can participate in the Settlement without attending the Settlement Hearing.</w:t>
      </w:r>
    </w:p>
    <w:p w14:paraId="7868D731" w14:textId="340B1505" w:rsidR="00CA639B" w:rsidRPr="003751CA" w:rsidRDefault="00670596" w:rsidP="003751CA">
      <w:pPr>
        <w:pStyle w:val="Heading1"/>
        <w:tabs>
          <w:tab w:val="clear" w:pos="2160"/>
        </w:tabs>
        <w:spacing w:before="120" w:after="120"/>
        <w:ind w:left="0"/>
        <w:rPr>
          <w:b/>
          <w:spacing w:val="-2"/>
        </w:rPr>
      </w:pPr>
      <w:r w:rsidRPr="003751CA">
        <w:rPr>
          <w:b/>
          <w:spacing w:val="-2"/>
          <w:u w:val="single"/>
        </w:rPr>
        <w:t>Please Note</w:t>
      </w:r>
      <w:r w:rsidRPr="003751CA">
        <w:rPr>
          <w:spacing w:val="-2"/>
        </w:rPr>
        <w:t>: The date and time of the Settlement Hearing may change without further written notice to the Class. In addition, the Court may decide to conduct the Settlement Hearing by video or telephonic conference, or otherwise allow Class Members to appear at the hearing by video or phone, without further written notice to the Class. </w:t>
      </w:r>
      <w:r w:rsidRPr="003751CA">
        <w:rPr>
          <w:b/>
          <w:spacing w:val="-2"/>
        </w:rPr>
        <w:t xml:space="preserve">In order to determine whether the date and time of the Settlement Hearing have changed, or whether Class Members must or may participate by phone or video, it is important that you </w:t>
      </w:r>
      <w:r w:rsidRPr="003751CA">
        <w:rPr>
          <w:b/>
          <w:spacing w:val="-2"/>
          <w:lang w:val="en-US"/>
        </w:rPr>
        <w:t>check</w:t>
      </w:r>
      <w:r w:rsidRPr="003751CA">
        <w:rPr>
          <w:b/>
          <w:spacing w:val="-2"/>
        </w:rPr>
        <w:t xml:space="preserve"> the Court’s docket and </w:t>
      </w:r>
      <w:r w:rsidRPr="003751CA">
        <w:rPr>
          <w:b/>
          <w:spacing w:val="-2"/>
          <w:lang w:val="en-US"/>
        </w:rPr>
        <w:t xml:space="preserve">the </w:t>
      </w:r>
      <w:r w:rsidR="00214806" w:rsidRPr="003751CA">
        <w:rPr>
          <w:b/>
          <w:spacing w:val="-2"/>
          <w:lang w:val="en-US"/>
        </w:rPr>
        <w:t xml:space="preserve">case </w:t>
      </w:r>
      <w:r w:rsidRPr="003751CA">
        <w:rPr>
          <w:b/>
          <w:spacing w:val="-2"/>
        </w:rPr>
        <w:t xml:space="preserve">website, </w:t>
      </w:r>
      <w:r w:rsidRPr="003751CA">
        <w:rPr>
          <w:b/>
          <w:spacing w:val="-2"/>
          <w:u w:val="single"/>
        </w:rPr>
        <w:t>www.</w:t>
      </w:r>
      <w:r w:rsidR="009D2F67" w:rsidRPr="003751CA">
        <w:rPr>
          <w:b/>
          <w:spacing w:val="-2"/>
          <w:u w:val="single"/>
          <w:lang w:val="en-US"/>
        </w:rPr>
        <w:t>GeneralElectric</w:t>
      </w:r>
      <w:r w:rsidR="00CF26BC" w:rsidRPr="003751CA">
        <w:rPr>
          <w:b/>
          <w:spacing w:val="-2"/>
          <w:u w:val="single"/>
          <w:lang w:val="en-US"/>
        </w:rPr>
        <w:t>SecuritiesLitigation</w:t>
      </w:r>
      <w:r w:rsidRPr="003751CA">
        <w:rPr>
          <w:b/>
          <w:spacing w:val="-2"/>
          <w:u w:val="single"/>
        </w:rPr>
        <w:t>.com</w:t>
      </w:r>
      <w:r w:rsidRPr="003751CA">
        <w:rPr>
          <w:b/>
          <w:spacing w:val="-2"/>
        </w:rPr>
        <w:t xml:space="preserve">, before making any plans to attend the Settlement Hearing. Any updates regarding the Settlement Hearing, including any changes to the date or time of the hearing or updates regarding in-person or remote appearances at the hearing, will be posted to </w:t>
      </w:r>
      <w:r w:rsidRPr="003751CA">
        <w:rPr>
          <w:b/>
          <w:spacing w:val="-2"/>
          <w:u w:val="single"/>
        </w:rPr>
        <w:t>www.</w:t>
      </w:r>
      <w:r w:rsidR="009D2F67" w:rsidRPr="003751CA">
        <w:rPr>
          <w:b/>
          <w:spacing w:val="-2"/>
          <w:u w:val="single"/>
          <w:lang w:val="en-US"/>
        </w:rPr>
        <w:t>GeneralElectric</w:t>
      </w:r>
      <w:r w:rsidRPr="003751CA">
        <w:rPr>
          <w:b/>
          <w:spacing w:val="-2"/>
          <w:u w:val="single"/>
          <w:lang w:val="en-US"/>
        </w:rPr>
        <w:t>Sec</w:t>
      </w:r>
      <w:proofErr w:type="spellStart"/>
      <w:r w:rsidRPr="003751CA">
        <w:rPr>
          <w:b/>
          <w:spacing w:val="-2"/>
          <w:u w:val="single"/>
        </w:rPr>
        <w:t>urities</w:t>
      </w:r>
      <w:r w:rsidRPr="003751CA">
        <w:rPr>
          <w:b/>
          <w:spacing w:val="-2"/>
          <w:u w:val="single"/>
          <w:lang w:val="en-US"/>
        </w:rPr>
        <w:t>Litigation</w:t>
      </w:r>
      <w:proofErr w:type="spellEnd"/>
      <w:r w:rsidRPr="003751CA">
        <w:rPr>
          <w:b/>
          <w:spacing w:val="-2"/>
          <w:u w:val="single"/>
        </w:rPr>
        <w:t>.com</w:t>
      </w:r>
      <w:r w:rsidRPr="003751CA">
        <w:rPr>
          <w:b/>
          <w:spacing w:val="-2"/>
        </w:rPr>
        <w:t xml:space="preserve">. If the Court requires or allows Class Members to participate in the Settlement Hearing by telephone or video conference, the information for accessing the telephone or video conference will be posted to </w:t>
      </w:r>
      <w:r w:rsidRPr="003751CA">
        <w:rPr>
          <w:b/>
          <w:spacing w:val="-2"/>
          <w:u w:val="single"/>
        </w:rPr>
        <w:t>www.</w:t>
      </w:r>
      <w:r w:rsidR="009D2F67" w:rsidRPr="003751CA">
        <w:rPr>
          <w:b/>
          <w:spacing w:val="-2"/>
          <w:u w:val="single"/>
          <w:lang w:val="en-US"/>
        </w:rPr>
        <w:t>GeneralElectric</w:t>
      </w:r>
      <w:r w:rsidRPr="003751CA">
        <w:rPr>
          <w:b/>
          <w:spacing w:val="-2"/>
          <w:u w:val="single"/>
          <w:lang w:val="en-US"/>
        </w:rPr>
        <w:t>SecuritiesLitigation</w:t>
      </w:r>
      <w:r w:rsidRPr="003751CA">
        <w:rPr>
          <w:b/>
          <w:spacing w:val="-2"/>
          <w:u w:val="single"/>
        </w:rPr>
        <w:t>.com</w:t>
      </w:r>
      <w:r w:rsidRPr="003751CA">
        <w:rPr>
          <w:b/>
          <w:spacing w:val="-2"/>
        </w:rPr>
        <w:t>.</w:t>
      </w:r>
      <w:r w:rsidRPr="003751CA">
        <w:rPr>
          <w:spacing w:val="-2"/>
        </w:rPr>
        <w:t xml:space="preserve"> </w:t>
      </w:r>
    </w:p>
    <w:p w14:paraId="110F048C" w14:textId="09B40044" w:rsidR="00CB443A" w:rsidRPr="00292F31" w:rsidRDefault="00670596" w:rsidP="003751CA">
      <w:pPr>
        <w:pStyle w:val="Heading1"/>
        <w:tabs>
          <w:tab w:val="clear" w:pos="2160"/>
        </w:tabs>
        <w:spacing w:before="120" w:after="120"/>
        <w:ind w:left="0"/>
        <w:rPr>
          <w:b/>
          <w:spacing w:val="-2"/>
        </w:rPr>
      </w:pPr>
      <w:r w:rsidRPr="00292F31">
        <w:rPr>
          <w:spacing w:val="-2"/>
        </w:rPr>
        <w:t xml:space="preserve">The Settlement Hearing will be held on </w:t>
      </w:r>
      <w:r w:rsidR="009949CD" w:rsidRPr="009949CD">
        <w:rPr>
          <w:b/>
          <w:bCs w:val="0"/>
          <w:spacing w:val="-2"/>
        </w:rPr>
        <w:t>Thursday, April 24, 2025</w:t>
      </w:r>
      <w:r w:rsidR="008D56C6">
        <w:rPr>
          <w:spacing w:val="-2"/>
        </w:rPr>
        <w:t xml:space="preserve"> </w:t>
      </w:r>
      <w:r w:rsidRPr="00292F31">
        <w:rPr>
          <w:b/>
          <w:bCs w:val="0"/>
          <w:spacing w:val="-2"/>
        </w:rPr>
        <w:t>at</w:t>
      </w:r>
      <w:r w:rsidR="009949CD">
        <w:rPr>
          <w:b/>
          <w:bCs w:val="0"/>
          <w:spacing w:val="-2"/>
        </w:rPr>
        <w:t xml:space="preserve"> </w:t>
      </w:r>
      <w:r w:rsidR="009949CD" w:rsidRPr="009949CD">
        <w:rPr>
          <w:b/>
          <w:bCs w:val="0"/>
          <w:spacing w:val="-2"/>
        </w:rPr>
        <w:t>11:00 a</w:t>
      </w:r>
      <w:r w:rsidRPr="00292F31">
        <w:rPr>
          <w:b/>
          <w:spacing w:val="-2"/>
        </w:rPr>
        <w:t>.m</w:t>
      </w:r>
      <w:r w:rsidR="009949CD">
        <w:rPr>
          <w:b/>
          <w:spacing w:val="-2"/>
        </w:rPr>
        <w:t>.</w:t>
      </w:r>
      <w:r w:rsidRPr="00292F31">
        <w:rPr>
          <w:spacing w:val="-2"/>
        </w:rPr>
        <w:t xml:space="preserve">, before the Honorable </w:t>
      </w:r>
      <w:r w:rsidR="009D2F67" w:rsidRPr="00292F31">
        <w:rPr>
          <w:rFonts w:eastAsiaTheme="minorHAnsi"/>
          <w:color w:val="373737"/>
          <w:spacing w:val="-2"/>
        </w:rPr>
        <w:t>Jesse M. Furman</w:t>
      </w:r>
      <w:r w:rsidR="009D2F67" w:rsidRPr="00292F31">
        <w:rPr>
          <w:spacing w:val="-2"/>
        </w:rPr>
        <w:t>, United States District Judge for the Southern District of New York, either in person in Courtroom 1105 of the Thurgood Marshall United States Courthouse, 40</w:t>
      </w:r>
      <w:r w:rsidR="00292F31">
        <w:rPr>
          <w:spacing w:val="-2"/>
        </w:rPr>
        <w:t> </w:t>
      </w:r>
      <w:r w:rsidR="009D2F67" w:rsidRPr="00292F31">
        <w:rPr>
          <w:spacing w:val="-2"/>
        </w:rPr>
        <w:t>Foley Square, New York, NY 10007</w:t>
      </w:r>
      <w:r w:rsidRPr="00292F31">
        <w:rPr>
          <w:color w:val="000000"/>
          <w:spacing w:val="-2"/>
          <w:shd w:val="clear" w:color="auto" w:fill="FFFFFF"/>
        </w:rPr>
        <w:t>,</w:t>
      </w:r>
      <w:r w:rsidRPr="00292F31">
        <w:rPr>
          <w:spacing w:val="-2"/>
        </w:rPr>
        <w:t xml:space="preserve"> or by telephone or videoconference (in the discretion of the Court). The Court reserves the right to approve the Settlement, the Plan of Allocation, </w:t>
      </w:r>
      <w:r w:rsidR="009D2F67" w:rsidRPr="00292F31">
        <w:rPr>
          <w:spacing w:val="-2"/>
          <w:lang w:val="en-US"/>
        </w:rPr>
        <w:t>Class</w:t>
      </w:r>
      <w:r w:rsidRPr="00292F31">
        <w:rPr>
          <w:spacing w:val="-2"/>
        </w:rPr>
        <w:t xml:space="preserve"> Counsel’s request for attorneys’ fees and Litigation Expenses, and/or any other matter related to the Settlement at or after the Settlement Hearing without further notice to members of the Class.</w:t>
      </w:r>
    </w:p>
    <w:p w14:paraId="287EF837" w14:textId="597AF1BD" w:rsidR="008B1B77" w:rsidRPr="007B2920" w:rsidRDefault="00670596" w:rsidP="003751CA">
      <w:pPr>
        <w:pStyle w:val="Heading1"/>
        <w:tabs>
          <w:tab w:val="clear" w:pos="2160"/>
        </w:tabs>
        <w:spacing w:before="120" w:after="120"/>
        <w:ind w:left="0"/>
      </w:pPr>
      <w:r w:rsidRPr="007B2920">
        <w:t xml:space="preserve">Any Class Member may object to the Settlement, the Plan of Allocation, </w:t>
      </w:r>
      <w:r w:rsidRPr="007B2920">
        <w:rPr>
          <w:lang w:val="en-US"/>
        </w:rPr>
        <w:t>and/</w:t>
      </w:r>
      <w:r w:rsidRPr="007B2920">
        <w:t xml:space="preserve">or </w:t>
      </w:r>
      <w:r w:rsidRPr="007B2920">
        <w:rPr>
          <w:lang w:val="en-US"/>
        </w:rPr>
        <w:t>Class</w:t>
      </w:r>
      <w:r w:rsidRPr="007B2920">
        <w:t xml:space="preserve"> Counsel’s motion for attorneys’ fees and Litigation Expenses.</w:t>
      </w:r>
      <w:r w:rsidRPr="007B2920">
        <w:rPr>
          <w:lang w:val="en-US"/>
        </w:rPr>
        <w:t xml:space="preserve"> </w:t>
      </w:r>
      <w:r w:rsidRPr="007B2920">
        <w:t xml:space="preserve">Objections must be in writing. </w:t>
      </w:r>
      <w:r w:rsidRPr="007B2920">
        <w:rPr>
          <w:lang w:val="en-US"/>
        </w:rPr>
        <w:t xml:space="preserve"> </w:t>
      </w:r>
      <w:r w:rsidRPr="007B2920">
        <w:t xml:space="preserve">You must file any written objection, together with copies of all other papers and briefs </w:t>
      </w:r>
      <w:r w:rsidRPr="007B2920">
        <w:rPr>
          <w:color w:val="000000"/>
        </w:rPr>
        <w:t>supporting</w:t>
      </w:r>
      <w:r w:rsidRPr="007B2920">
        <w:t xml:space="preserve"> the objection, with the Clerk’s Office at the United States District Court for the </w:t>
      </w:r>
      <w:r w:rsidR="009D2F67" w:rsidRPr="007B2920">
        <w:rPr>
          <w:lang w:val="en-US"/>
        </w:rPr>
        <w:t>Southern</w:t>
      </w:r>
      <w:r w:rsidR="00886CDD" w:rsidRPr="007B2920">
        <w:rPr>
          <w:lang w:val="en-US"/>
        </w:rPr>
        <w:t xml:space="preserve"> </w:t>
      </w:r>
      <w:r w:rsidRPr="007B2920">
        <w:rPr>
          <w:lang w:val="en-US"/>
        </w:rPr>
        <w:t xml:space="preserve">District of </w:t>
      </w:r>
      <w:r w:rsidR="009D2F67" w:rsidRPr="007B2920">
        <w:rPr>
          <w:lang w:val="en-US"/>
        </w:rPr>
        <w:t xml:space="preserve">New York </w:t>
      </w:r>
      <w:r w:rsidRPr="007B2920">
        <w:t>at the address set forth below</w:t>
      </w:r>
      <w:r w:rsidRPr="007B2920">
        <w:rPr>
          <w:lang w:val="en-US"/>
        </w:rPr>
        <w:t>,</w:t>
      </w:r>
      <w:r w:rsidRPr="007B2920">
        <w:t xml:space="preserve"> </w:t>
      </w:r>
      <w:r w:rsidRPr="007B2920">
        <w:rPr>
          <w:lang w:val="en-US"/>
        </w:rPr>
        <w:t xml:space="preserve">as well as serve copies on </w:t>
      </w:r>
      <w:r w:rsidR="009D2F67" w:rsidRPr="007B2920">
        <w:rPr>
          <w:lang w:val="en-US"/>
        </w:rPr>
        <w:t>Class</w:t>
      </w:r>
      <w:r w:rsidRPr="007B2920">
        <w:rPr>
          <w:lang w:val="en-US"/>
        </w:rPr>
        <w:t xml:space="preserve"> Counsel and Defendants’ Counsel at the addresses set forth below </w:t>
      </w:r>
      <w:r w:rsidRPr="007B2920">
        <w:rPr>
          <w:b/>
          <w:i/>
        </w:rPr>
        <w:t>on or before</w:t>
      </w:r>
      <w:r w:rsidR="009949CD">
        <w:rPr>
          <w:b/>
          <w:i/>
        </w:rPr>
        <w:t xml:space="preserve"> April 3</w:t>
      </w:r>
      <w:r w:rsidR="009D2F67" w:rsidRPr="007B2920">
        <w:rPr>
          <w:b/>
          <w:i/>
          <w:lang w:val="en-US"/>
        </w:rPr>
        <w:t>, 2025</w:t>
      </w:r>
      <w:r w:rsidRPr="007B2920">
        <w:t>.</w:t>
      </w:r>
    </w:p>
    <w:tbl>
      <w:tblPr>
        <w:tblW w:w="9720" w:type="dxa"/>
        <w:tblInd w:w="-185" w:type="dxa"/>
        <w:tblLook w:val="04A0" w:firstRow="1" w:lastRow="0" w:firstColumn="1" w:lastColumn="0" w:noHBand="0" w:noVBand="1"/>
      </w:tblPr>
      <w:tblGrid>
        <w:gridCol w:w="3150"/>
        <w:gridCol w:w="3330"/>
        <w:gridCol w:w="3240"/>
      </w:tblGrid>
      <w:tr w:rsidR="00C208DC" w:rsidRPr="007B2920" w14:paraId="2846AAEB" w14:textId="77777777" w:rsidTr="00CB443A">
        <w:tc>
          <w:tcPr>
            <w:tcW w:w="3150" w:type="dxa"/>
          </w:tcPr>
          <w:p w14:paraId="2098C489" w14:textId="77777777" w:rsidR="008B1B77" w:rsidRPr="007B2920" w:rsidRDefault="00670596" w:rsidP="007B2920">
            <w:pPr>
              <w:spacing w:before="40" w:after="120"/>
              <w:jc w:val="center"/>
              <w:rPr>
                <w:b/>
                <w:u w:val="single"/>
                <w:lang w:eastAsia="x-none"/>
              </w:rPr>
            </w:pPr>
            <w:r w:rsidRPr="007B2920">
              <w:rPr>
                <w:b/>
                <w:u w:val="single"/>
                <w:lang w:eastAsia="x-none"/>
              </w:rPr>
              <w:t>Clerk’s Office</w:t>
            </w:r>
          </w:p>
          <w:p w14:paraId="1FB89037" w14:textId="77777777" w:rsidR="008B1B77" w:rsidRPr="007B2920" w:rsidRDefault="00670596" w:rsidP="007B2920">
            <w:pPr>
              <w:jc w:val="center"/>
              <w:rPr>
                <w:lang w:eastAsia="x-none"/>
              </w:rPr>
            </w:pPr>
            <w:r w:rsidRPr="007B2920">
              <w:rPr>
                <w:lang w:eastAsia="x-none"/>
              </w:rPr>
              <w:t>United States District Court</w:t>
            </w:r>
          </w:p>
          <w:p w14:paraId="2F9B9308" w14:textId="77777777" w:rsidR="00214806" w:rsidRPr="007B2920" w:rsidRDefault="00670596" w:rsidP="007B2920">
            <w:pPr>
              <w:jc w:val="center"/>
              <w:rPr>
                <w:lang w:eastAsia="x-none"/>
              </w:rPr>
            </w:pPr>
            <w:r w:rsidRPr="007B2920">
              <w:rPr>
                <w:lang w:eastAsia="x-none"/>
              </w:rPr>
              <w:t xml:space="preserve">Southern </w:t>
            </w:r>
            <w:r w:rsidR="00EC7D76" w:rsidRPr="007B2920">
              <w:rPr>
                <w:lang w:eastAsia="x-none"/>
              </w:rPr>
              <w:t xml:space="preserve">District of </w:t>
            </w:r>
          </w:p>
          <w:p w14:paraId="06815CA9" w14:textId="775C6BAC" w:rsidR="008B1B77" w:rsidRPr="007B2920" w:rsidRDefault="00670596" w:rsidP="007B2920">
            <w:pPr>
              <w:jc w:val="center"/>
              <w:rPr>
                <w:lang w:eastAsia="x-none"/>
              </w:rPr>
            </w:pPr>
            <w:r w:rsidRPr="007B2920">
              <w:rPr>
                <w:lang w:eastAsia="x-none"/>
              </w:rPr>
              <w:t>New York</w:t>
            </w:r>
          </w:p>
          <w:p w14:paraId="1DD3DD9C" w14:textId="77777777" w:rsidR="009D2F67" w:rsidRPr="007B2920" w:rsidRDefault="00670596" w:rsidP="007B2920">
            <w:pPr>
              <w:jc w:val="center"/>
            </w:pPr>
            <w:r w:rsidRPr="007B2920">
              <w:t>Thurgood Marshall United States Courthouse</w:t>
            </w:r>
          </w:p>
          <w:p w14:paraId="10B923F0" w14:textId="77777777" w:rsidR="009D2F67" w:rsidRPr="007B2920" w:rsidRDefault="00670596" w:rsidP="007B2920">
            <w:pPr>
              <w:jc w:val="center"/>
            </w:pPr>
            <w:r w:rsidRPr="007B2920">
              <w:t>40 Foley Square</w:t>
            </w:r>
          </w:p>
          <w:p w14:paraId="2BCC683B" w14:textId="641B91E7" w:rsidR="008B1B77" w:rsidRPr="007B2920" w:rsidRDefault="00670596" w:rsidP="007B2920">
            <w:pPr>
              <w:jc w:val="center"/>
              <w:rPr>
                <w:lang w:eastAsia="x-none"/>
              </w:rPr>
            </w:pPr>
            <w:r w:rsidRPr="007B2920">
              <w:t>New York, NY 10007</w:t>
            </w:r>
          </w:p>
        </w:tc>
        <w:tc>
          <w:tcPr>
            <w:tcW w:w="3330" w:type="dxa"/>
          </w:tcPr>
          <w:p w14:paraId="3A0DC1CB" w14:textId="77777777" w:rsidR="004006C7" w:rsidRPr="007B2920" w:rsidRDefault="00670596" w:rsidP="007B2920">
            <w:pPr>
              <w:spacing w:before="40" w:after="120"/>
              <w:jc w:val="center"/>
              <w:rPr>
                <w:b/>
                <w:u w:val="single"/>
                <w:lang w:eastAsia="x-none"/>
              </w:rPr>
            </w:pPr>
            <w:r w:rsidRPr="007B2920">
              <w:rPr>
                <w:b/>
                <w:u w:val="single"/>
                <w:lang w:eastAsia="x-none"/>
              </w:rPr>
              <w:t>Lead Counsel</w:t>
            </w:r>
          </w:p>
          <w:p w14:paraId="0E7BA47E" w14:textId="046D0D50" w:rsidR="008B1B77" w:rsidRPr="007B2920" w:rsidRDefault="00670596" w:rsidP="007B2920">
            <w:pPr>
              <w:jc w:val="center"/>
            </w:pPr>
            <w:r w:rsidRPr="007B2920">
              <w:t xml:space="preserve">Sharan </w:t>
            </w:r>
            <w:proofErr w:type="spellStart"/>
            <w:r w:rsidRPr="007B2920">
              <w:t>Nirmul</w:t>
            </w:r>
            <w:proofErr w:type="spellEnd"/>
            <w:r w:rsidR="00214806" w:rsidRPr="007B2920">
              <w:t>, Esq.</w:t>
            </w:r>
          </w:p>
          <w:p w14:paraId="3862352A" w14:textId="77777777" w:rsidR="008B1B77" w:rsidRPr="007B2920" w:rsidRDefault="00670596" w:rsidP="007B2920">
            <w:pPr>
              <w:jc w:val="center"/>
              <w:rPr>
                <w:lang w:eastAsia="x-none"/>
              </w:rPr>
            </w:pPr>
            <w:r w:rsidRPr="007B2920">
              <w:rPr>
                <w:lang w:eastAsia="x-none"/>
              </w:rPr>
              <w:t xml:space="preserve">Kessler Topaz Meltzer </w:t>
            </w:r>
          </w:p>
          <w:p w14:paraId="2A9E595C" w14:textId="77777777" w:rsidR="008B1B77" w:rsidRPr="007B2920" w:rsidRDefault="00670596" w:rsidP="007B2920">
            <w:pPr>
              <w:jc w:val="center"/>
              <w:rPr>
                <w:lang w:eastAsia="x-none"/>
              </w:rPr>
            </w:pPr>
            <w:r w:rsidRPr="007B2920">
              <w:rPr>
                <w:lang w:eastAsia="x-none"/>
              </w:rPr>
              <w:t>&amp; Check, LLP</w:t>
            </w:r>
          </w:p>
          <w:p w14:paraId="17D6F4BE" w14:textId="77777777" w:rsidR="008B1B77" w:rsidRPr="007B2920" w:rsidRDefault="00670596" w:rsidP="007B2920">
            <w:pPr>
              <w:jc w:val="center"/>
              <w:rPr>
                <w:lang w:eastAsia="x-none"/>
              </w:rPr>
            </w:pPr>
            <w:r w:rsidRPr="007B2920">
              <w:rPr>
                <w:lang w:eastAsia="x-none"/>
              </w:rPr>
              <w:t>280 King of Prussia Road</w:t>
            </w:r>
          </w:p>
          <w:p w14:paraId="2C77DA17" w14:textId="2126AB41" w:rsidR="008B1B77" w:rsidRPr="007B2920" w:rsidRDefault="00670596" w:rsidP="007B2920">
            <w:pPr>
              <w:jc w:val="center"/>
              <w:rPr>
                <w:lang w:eastAsia="x-none"/>
              </w:rPr>
            </w:pPr>
            <w:r w:rsidRPr="007B2920">
              <w:rPr>
                <w:lang w:eastAsia="x-none"/>
              </w:rPr>
              <w:t>Radnor, PA 19087</w:t>
            </w:r>
          </w:p>
          <w:p w14:paraId="5BAF8BEF" w14:textId="77777777" w:rsidR="00CB443A" w:rsidRPr="007B2920" w:rsidRDefault="00CB443A" w:rsidP="007B2920">
            <w:pPr>
              <w:jc w:val="center"/>
              <w:rPr>
                <w:sz w:val="12"/>
                <w:szCs w:val="12"/>
                <w:lang w:eastAsia="x-none"/>
              </w:rPr>
            </w:pPr>
          </w:p>
          <w:p w14:paraId="0CF67F9F" w14:textId="3B8BD36E" w:rsidR="008B1B77" w:rsidRPr="007B2920" w:rsidRDefault="008B1B77" w:rsidP="007B2920">
            <w:pPr>
              <w:spacing w:after="60"/>
              <w:jc w:val="center"/>
            </w:pPr>
          </w:p>
        </w:tc>
        <w:tc>
          <w:tcPr>
            <w:tcW w:w="3240" w:type="dxa"/>
          </w:tcPr>
          <w:p w14:paraId="1F5883B8" w14:textId="77777777" w:rsidR="009D2F67" w:rsidRPr="007B2920" w:rsidRDefault="00670596" w:rsidP="007B2920">
            <w:pPr>
              <w:spacing w:before="40" w:after="120"/>
              <w:jc w:val="center"/>
              <w:rPr>
                <w:b/>
                <w:u w:val="single"/>
                <w:lang w:eastAsia="x-none"/>
              </w:rPr>
            </w:pPr>
            <w:r w:rsidRPr="007B2920">
              <w:rPr>
                <w:b/>
                <w:u w:val="single"/>
                <w:lang w:eastAsia="x-none"/>
              </w:rPr>
              <w:t>Defendants’ Counsel</w:t>
            </w:r>
          </w:p>
          <w:p w14:paraId="58827948" w14:textId="5D328D1D" w:rsidR="009D2F67" w:rsidRPr="007B2920" w:rsidRDefault="00670596" w:rsidP="007B2920">
            <w:pPr>
              <w:jc w:val="center"/>
            </w:pPr>
            <w:r w:rsidRPr="007B2920">
              <w:t>Sean M. Berkowitz</w:t>
            </w:r>
            <w:r w:rsidR="00214806" w:rsidRPr="007B2920">
              <w:t>, Esq.</w:t>
            </w:r>
          </w:p>
          <w:p w14:paraId="2DF55420" w14:textId="77777777" w:rsidR="009D2F67" w:rsidRPr="007B2920" w:rsidRDefault="00670596" w:rsidP="007B2920">
            <w:pPr>
              <w:jc w:val="center"/>
            </w:pPr>
            <w:r w:rsidRPr="007B2920">
              <w:t>Latham &amp; Watkins LLP</w:t>
            </w:r>
          </w:p>
          <w:p w14:paraId="7FCA8DBB" w14:textId="18AC291C" w:rsidR="009D2F67" w:rsidRPr="007B2920" w:rsidRDefault="00670596" w:rsidP="007B2920">
            <w:pPr>
              <w:jc w:val="center"/>
            </w:pPr>
            <w:r w:rsidRPr="007B2920">
              <w:t>330 North Wabash Avenue</w:t>
            </w:r>
          </w:p>
          <w:p w14:paraId="5360056B" w14:textId="7CA5CD86" w:rsidR="009D2F67" w:rsidRPr="007B2920" w:rsidRDefault="00670596" w:rsidP="007B2920">
            <w:pPr>
              <w:jc w:val="center"/>
            </w:pPr>
            <w:r w:rsidRPr="007B2920">
              <w:t>Suite 2800</w:t>
            </w:r>
          </w:p>
          <w:p w14:paraId="685B5027" w14:textId="705DA3C1" w:rsidR="009D2F67" w:rsidRPr="007B2920" w:rsidRDefault="00670596" w:rsidP="007B2920">
            <w:pPr>
              <w:jc w:val="center"/>
              <w:rPr>
                <w:b/>
                <w:u w:val="single"/>
                <w:lang w:eastAsia="x-none"/>
              </w:rPr>
            </w:pPr>
            <w:r w:rsidRPr="007B2920">
              <w:t>Chicago, IL 60611</w:t>
            </w:r>
          </w:p>
          <w:p w14:paraId="40F23E23" w14:textId="52D21C99" w:rsidR="00CB443A" w:rsidRPr="007B2920" w:rsidRDefault="00CB443A" w:rsidP="007B2920">
            <w:pPr>
              <w:keepNext/>
              <w:kinsoku w:val="0"/>
              <w:overflowPunct w:val="0"/>
              <w:autoSpaceDE w:val="0"/>
              <w:autoSpaceDN w:val="0"/>
              <w:adjustRightInd w:val="0"/>
              <w:ind w:left="3600" w:firstLine="720"/>
            </w:pPr>
          </w:p>
        </w:tc>
      </w:tr>
    </w:tbl>
    <w:p w14:paraId="3DAA2053" w14:textId="5C98D2F9" w:rsidR="008B1B77" w:rsidRPr="007B2920" w:rsidRDefault="00670596" w:rsidP="003751CA">
      <w:pPr>
        <w:pStyle w:val="Heading1"/>
        <w:tabs>
          <w:tab w:val="clear" w:pos="2160"/>
        </w:tabs>
        <w:spacing w:before="120" w:after="120"/>
        <w:ind w:left="0"/>
      </w:pPr>
      <w:r w:rsidRPr="007B2920">
        <w:lastRenderedPageBreak/>
        <w:t>Any objection</w:t>
      </w:r>
      <w:r w:rsidRPr="007B2920">
        <w:rPr>
          <w:lang w:val="en-US"/>
        </w:rPr>
        <w:t>, filings, and other submissions by the objecting Class Member</w:t>
      </w:r>
      <w:r w:rsidR="00654993" w:rsidRPr="007B2920">
        <w:rPr>
          <w:lang w:val="en-US"/>
        </w:rPr>
        <w:t xml:space="preserve"> must</w:t>
      </w:r>
      <w:r w:rsidRPr="007B2920">
        <w:rPr>
          <w:lang w:val="en-US"/>
        </w:rPr>
        <w:t xml:space="preserve"> </w:t>
      </w:r>
      <w:r w:rsidR="00A01CF2" w:rsidRPr="007B2920">
        <w:t xml:space="preserve">include: (1) the name of this proceeding, </w:t>
      </w:r>
      <w:proofErr w:type="spellStart"/>
      <w:r w:rsidR="009D2F67" w:rsidRPr="007B2920">
        <w:rPr>
          <w:i/>
        </w:rPr>
        <w:t>Sjunde</w:t>
      </w:r>
      <w:proofErr w:type="spellEnd"/>
      <w:r w:rsidR="009D2F67" w:rsidRPr="007B2920">
        <w:rPr>
          <w:i/>
        </w:rPr>
        <w:t xml:space="preserve"> AP-</w:t>
      </w:r>
      <w:proofErr w:type="spellStart"/>
      <w:r w:rsidR="009D2F67" w:rsidRPr="007B2920">
        <w:rPr>
          <w:i/>
        </w:rPr>
        <w:t>Fonden</w:t>
      </w:r>
      <w:proofErr w:type="spellEnd"/>
      <w:r w:rsidR="00214806" w:rsidRPr="007B2920">
        <w:rPr>
          <w:i/>
          <w:lang w:val="en-US"/>
        </w:rPr>
        <w:t>, et al.</w:t>
      </w:r>
      <w:r w:rsidR="009D2F67" w:rsidRPr="007B2920">
        <w:rPr>
          <w:i/>
        </w:rPr>
        <w:t xml:space="preserve"> v. General Electric Co., et al</w:t>
      </w:r>
      <w:r w:rsidR="00214806" w:rsidRPr="007B2920">
        <w:rPr>
          <w:i/>
          <w:lang w:val="en-US"/>
        </w:rPr>
        <w:t>.</w:t>
      </w:r>
      <w:r w:rsidR="009D2F67" w:rsidRPr="007B2920">
        <w:t>, Case No. 17 Civ 8457 (JMF) (GWG) (S.D.N.Y.)</w:t>
      </w:r>
      <w:r w:rsidR="009D2F67" w:rsidRPr="007B2920">
        <w:rPr>
          <w:lang w:val="en-US"/>
        </w:rPr>
        <w:t>;</w:t>
      </w:r>
      <w:r w:rsidR="00A01CF2" w:rsidRPr="007B2920">
        <w:t xml:space="preserve"> (2) the objector’s full name, current address, and telephone number; (3) the objector’s signature; (4) a statement providing the </w:t>
      </w:r>
      <w:bookmarkStart w:id="9" w:name="_Hlk536440569"/>
      <w:r w:rsidR="00A01CF2" w:rsidRPr="007B2920">
        <w:t>specific reasons for the objection, including a detailed</w:t>
      </w:r>
      <w:r w:rsidR="00A01CF2" w:rsidRPr="007B2920">
        <w:rPr>
          <w:color w:val="000000"/>
        </w:rPr>
        <w:t xml:space="preserve"> statement of the specific legal and factual basis for each and every objection</w:t>
      </w:r>
      <w:r w:rsidR="00A01CF2" w:rsidRPr="007B2920">
        <w:t xml:space="preserve"> and whether the objection applies only to the objector, to a specific subset of the Class, or to the entire Class</w:t>
      </w:r>
      <w:bookmarkEnd w:id="9"/>
      <w:r w:rsidR="00A01CF2" w:rsidRPr="007B2920">
        <w:t xml:space="preserve">; and (5) documents sufficient to prove membership in the Class, including documents showing </w:t>
      </w:r>
      <w:r w:rsidR="00A01CF2" w:rsidRPr="007B2920">
        <w:rPr>
          <w:color w:val="000000"/>
        </w:rPr>
        <w:t xml:space="preserve">the number of shares of </w:t>
      </w:r>
      <w:r w:rsidR="009D2F67" w:rsidRPr="007B2920">
        <w:rPr>
          <w:lang w:val="en-US"/>
        </w:rPr>
        <w:t>GE</w:t>
      </w:r>
      <w:r w:rsidR="00A01CF2" w:rsidRPr="007B2920">
        <w:t xml:space="preserve"> common stock</w:t>
      </w:r>
      <w:r w:rsidR="00A01CF2" w:rsidRPr="007B2920">
        <w:rPr>
          <w:color w:val="000000"/>
        </w:rPr>
        <w:t xml:space="preserve"> that the </w:t>
      </w:r>
      <w:r w:rsidR="00A01CF2" w:rsidRPr="007B2920">
        <w:t>objecting Class Member (</w:t>
      </w:r>
      <w:r w:rsidR="00A01CF2" w:rsidRPr="007B2920">
        <w:rPr>
          <w:color w:val="000000"/>
        </w:rPr>
        <w:t xml:space="preserve">A) held as of the opening of trading on </w:t>
      </w:r>
      <w:r w:rsidR="009D2F67" w:rsidRPr="007B2920">
        <w:rPr>
          <w:lang w:val="en-US"/>
        </w:rPr>
        <w:t>February 2</w:t>
      </w:r>
      <w:r w:rsidR="00082E1D">
        <w:rPr>
          <w:lang w:val="en-US"/>
        </w:rPr>
        <w:t>9</w:t>
      </w:r>
      <w:r w:rsidR="009D2F67" w:rsidRPr="007B2920">
        <w:rPr>
          <w:lang w:val="en-US"/>
        </w:rPr>
        <w:t>, 2</w:t>
      </w:r>
      <w:r w:rsidR="006038A9" w:rsidRPr="007B2920">
        <w:rPr>
          <w:lang w:val="en-US"/>
        </w:rPr>
        <w:t>0</w:t>
      </w:r>
      <w:r w:rsidR="009D2F67" w:rsidRPr="007B2920">
        <w:rPr>
          <w:lang w:val="en-US"/>
        </w:rPr>
        <w:t>16</w:t>
      </w:r>
      <w:r w:rsidR="00A01CF2" w:rsidRPr="007B2920">
        <w:rPr>
          <w:color w:val="000000"/>
        </w:rPr>
        <w:t xml:space="preserve"> and (B)</w:t>
      </w:r>
      <w:r w:rsidR="00A01CF2" w:rsidRPr="007B2920">
        <w:rPr>
          <w:color w:val="000000"/>
          <w:lang w:val="en-US"/>
        </w:rPr>
        <w:t> </w:t>
      </w:r>
      <w:r w:rsidR="00A01CF2" w:rsidRPr="007B2920">
        <w:rPr>
          <w:color w:val="000000"/>
        </w:rPr>
        <w:t>purchased/acquired and/or sold during the Class Period, as well as the dates, number of shares, and prices of each such purchase/acquisition and sale</w:t>
      </w:r>
      <w:r w:rsidR="00654993" w:rsidRPr="007B2920">
        <w:t>.</w:t>
      </w:r>
      <w:r w:rsidR="00386180" w:rsidRPr="007B2920">
        <w:rPr>
          <w:lang w:val="en-US"/>
        </w:rPr>
        <w:t xml:space="preserve"> </w:t>
      </w:r>
      <w:r w:rsidRPr="007B2920">
        <w:t>The objecting Class Member shall provide documentation establishing membership in the Class through copies of brokerage confirmation slips or brokerage account statements, or an authorized statement from the objector’s broker containing the transactional and holding information found in a broker</w:t>
      </w:r>
      <w:r w:rsidR="005676D2" w:rsidRPr="007B2920">
        <w:rPr>
          <w:lang w:val="en-US"/>
        </w:rPr>
        <w:t>age</w:t>
      </w:r>
      <w:r w:rsidRPr="007B2920">
        <w:t xml:space="preserve"> confirmation slip or account statement.</w:t>
      </w:r>
    </w:p>
    <w:p w14:paraId="1A31B284" w14:textId="42989B9A" w:rsidR="008B1B77" w:rsidRPr="007B2920" w:rsidRDefault="00670596" w:rsidP="003751CA">
      <w:pPr>
        <w:pStyle w:val="Heading1"/>
        <w:tabs>
          <w:tab w:val="clear" w:pos="2160"/>
        </w:tabs>
        <w:spacing w:before="120" w:after="120"/>
        <w:ind w:left="0"/>
        <w:rPr>
          <w:b/>
        </w:rPr>
      </w:pPr>
      <w:r w:rsidRPr="007B2920">
        <w:rPr>
          <w:b/>
        </w:rPr>
        <w:t>You may not object to</w:t>
      </w:r>
      <w:r w:rsidRPr="007B2920">
        <w:rPr>
          <w:b/>
          <w:lang w:val="en-US"/>
        </w:rPr>
        <w:t xml:space="preserve"> </w:t>
      </w:r>
      <w:r w:rsidRPr="007B2920">
        <w:rPr>
          <w:b/>
        </w:rPr>
        <w:t>the Settlement, Plan of Allocation</w:t>
      </w:r>
      <w:r w:rsidRPr="007B2920">
        <w:rPr>
          <w:b/>
          <w:lang w:val="en-US"/>
        </w:rPr>
        <w:t>,</w:t>
      </w:r>
      <w:r w:rsidRPr="007B2920">
        <w:rPr>
          <w:b/>
        </w:rPr>
        <w:t xml:space="preserve"> </w:t>
      </w:r>
      <w:r w:rsidRPr="007B2920">
        <w:rPr>
          <w:b/>
          <w:lang w:val="en-US"/>
        </w:rPr>
        <w:t>and/</w:t>
      </w:r>
      <w:r w:rsidRPr="007B2920">
        <w:rPr>
          <w:b/>
        </w:rPr>
        <w:t xml:space="preserve">or </w:t>
      </w:r>
      <w:r w:rsidR="00386180" w:rsidRPr="007B2920">
        <w:rPr>
          <w:b/>
          <w:lang w:val="en-US"/>
        </w:rPr>
        <w:t>Class</w:t>
      </w:r>
      <w:r w:rsidR="00BC5AA1" w:rsidRPr="007B2920">
        <w:rPr>
          <w:b/>
          <w:lang w:val="en-US"/>
        </w:rPr>
        <w:t xml:space="preserve"> </w:t>
      </w:r>
      <w:r w:rsidRPr="007B2920">
        <w:rPr>
          <w:b/>
          <w:lang w:val="en-US"/>
        </w:rPr>
        <w:t>Counsel’s</w:t>
      </w:r>
      <w:r w:rsidRPr="007B2920">
        <w:rPr>
          <w:b/>
        </w:rPr>
        <w:t xml:space="preserve"> motion for attorneys’ fees and </w:t>
      </w:r>
      <w:r w:rsidRPr="007B2920">
        <w:rPr>
          <w:b/>
          <w:lang w:val="en-US"/>
        </w:rPr>
        <w:t>Litigation Expenses</w:t>
      </w:r>
      <w:r w:rsidR="00BC5AA1" w:rsidRPr="007B2920">
        <w:rPr>
          <w:b/>
        </w:rPr>
        <w:t xml:space="preserve"> if you </w:t>
      </w:r>
      <w:r w:rsidR="00386180" w:rsidRPr="007B2920">
        <w:rPr>
          <w:b/>
          <w:lang w:val="en-US"/>
        </w:rPr>
        <w:t xml:space="preserve">are </w:t>
      </w:r>
      <w:r w:rsidR="00BC5AA1" w:rsidRPr="007B2920">
        <w:rPr>
          <w:b/>
        </w:rPr>
        <w:t>exclude</w:t>
      </w:r>
      <w:r w:rsidR="00386180" w:rsidRPr="007B2920">
        <w:rPr>
          <w:b/>
          <w:lang w:val="en-US"/>
        </w:rPr>
        <w:t>d</w:t>
      </w:r>
      <w:r w:rsidRPr="007B2920">
        <w:rPr>
          <w:b/>
        </w:rPr>
        <w:t xml:space="preserve"> from the Class</w:t>
      </w:r>
      <w:r w:rsidR="00386180" w:rsidRPr="007B2920">
        <w:rPr>
          <w:b/>
          <w:lang w:val="en-US"/>
        </w:rPr>
        <w:t xml:space="preserve"> (including if you excluded yourself by request in connection with Class Notice, are listed in Appendix 1 to the Stipulation, and did not opt back into the Class in accordance with the instructions set forth in this Notice).</w:t>
      </w:r>
      <w:r w:rsidRPr="007B2920">
        <w:rPr>
          <w:rStyle w:val="FootnoteReference"/>
          <w:b/>
          <w:lang w:val="en-US"/>
        </w:rPr>
        <w:footnoteReference w:id="8"/>
      </w:r>
    </w:p>
    <w:p w14:paraId="57B1BD99" w14:textId="77777777" w:rsidR="008B1B77" w:rsidRPr="007B2920" w:rsidRDefault="00670596" w:rsidP="003751CA">
      <w:pPr>
        <w:pStyle w:val="Heading1"/>
        <w:tabs>
          <w:tab w:val="clear" w:pos="2160"/>
        </w:tabs>
        <w:spacing w:before="120" w:after="120"/>
        <w:ind w:left="0"/>
      </w:pPr>
      <w:r w:rsidRPr="007B2920">
        <w:t xml:space="preserve">You may </w:t>
      </w:r>
      <w:r w:rsidRPr="007B2920">
        <w:rPr>
          <w:lang w:val="en-US"/>
        </w:rPr>
        <w:t>submit</w:t>
      </w:r>
      <w:r w:rsidRPr="007B2920">
        <w:t xml:space="preserve"> a</w:t>
      </w:r>
      <w:r w:rsidRPr="007B2920">
        <w:rPr>
          <w:lang w:val="en-US"/>
        </w:rPr>
        <w:t>n</w:t>
      </w:r>
      <w:r w:rsidRPr="007B2920">
        <w:t xml:space="preserve"> objection without having to appear at the Settlement Hearing. You may not, however, appear at the Settlement Hearing to present your objection unless </w:t>
      </w:r>
      <w:r w:rsidRPr="007B2920">
        <w:rPr>
          <w:lang w:val="en-US"/>
        </w:rPr>
        <w:t xml:space="preserve">(1) </w:t>
      </w:r>
      <w:r w:rsidRPr="007B2920">
        <w:t xml:space="preserve">you first </w:t>
      </w:r>
      <w:r w:rsidRPr="007B2920">
        <w:rPr>
          <w:color w:val="000000"/>
        </w:rPr>
        <w:t>submit</w:t>
      </w:r>
      <w:r w:rsidRPr="007B2920">
        <w:t xml:space="preserve"> a written objection in accordance with the procedures described above</w:t>
      </w:r>
      <w:r w:rsidRPr="007B2920">
        <w:rPr>
          <w:lang w:val="en-US"/>
        </w:rPr>
        <w:t xml:space="preserve">, (2) you first submit your </w:t>
      </w:r>
      <w:r w:rsidRPr="007B2920">
        <w:t>notice</w:t>
      </w:r>
      <w:r w:rsidRPr="007B2920">
        <w:rPr>
          <w:lang w:val="en-US"/>
        </w:rPr>
        <w:t xml:space="preserve"> of appearance in accordance with the procedures described below, or </w:t>
      </w:r>
      <w:r w:rsidRPr="007B2920">
        <w:rPr>
          <w:lang w:val="en-US"/>
        </w:rPr>
        <w:br/>
        <w:t>(3)</w:t>
      </w:r>
      <w:r w:rsidRPr="007B2920">
        <w:t xml:space="preserve"> the Court orders otherwise.</w:t>
      </w:r>
    </w:p>
    <w:p w14:paraId="5D80281C" w14:textId="19B74EF7" w:rsidR="008B1B77" w:rsidRPr="007B2920" w:rsidRDefault="00670596" w:rsidP="003751CA">
      <w:pPr>
        <w:pStyle w:val="Heading1"/>
        <w:tabs>
          <w:tab w:val="clear" w:pos="2160"/>
        </w:tabs>
        <w:spacing w:before="120" w:after="120"/>
        <w:ind w:left="0"/>
      </w:pPr>
      <w:r w:rsidRPr="007B2920">
        <w:t>If you wish to be heard orally at the hearing in opposition to the approval of the Settlement, the Plan of Allocation</w:t>
      </w:r>
      <w:r w:rsidRPr="007B2920">
        <w:rPr>
          <w:lang w:val="en-US"/>
        </w:rPr>
        <w:t>,</w:t>
      </w:r>
      <w:r w:rsidRPr="007B2920">
        <w:t xml:space="preserve"> </w:t>
      </w:r>
      <w:r w:rsidRPr="007B2920">
        <w:rPr>
          <w:lang w:val="en-US"/>
        </w:rPr>
        <w:t>and/</w:t>
      </w:r>
      <w:r w:rsidRPr="007B2920">
        <w:rPr>
          <w:color w:val="000000"/>
        </w:rPr>
        <w:t>or</w:t>
      </w:r>
      <w:r w:rsidRPr="007B2920">
        <w:t xml:space="preserve"> </w:t>
      </w:r>
      <w:r w:rsidR="00386180" w:rsidRPr="007B2920">
        <w:rPr>
          <w:lang w:val="en-US"/>
        </w:rPr>
        <w:t xml:space="preserve">Class </w:t>
      </w:r>
      <w:r w:rsidRPr="007B2920">
        <w:t xml:space="preserve">Counsel’s </w:t>
      </w:r>
      <w:r w:rsidRPr="007B2920">
        <w:rPr>
          <w:lang w:val="en-US"/>
        </w:rPr>
        <w:t>motion</w:t>
      </w:r>
      <w:r w:rsidRPr="007B2920">
        <w:t xml:space="preserve"> for attorneys’ fees and </w:t>
      </w:r>
      <w:r w:rsidRPr="007B2920">
        <w:rPr>
          <w:lang w:val="en-US"/>
        </w:rPr>
        <w:t>Litigation Expenses</w:t>
      </w:r>
      <w:r w:rsidRPr="007B2920">
        <w:t xml:space="preserve">, and if you </w:t>
      </w:r>
      <w:r w:rsidRPr="007B2920">
        <w:rPr>
          <w:lang w:val="en-US"/>
        </w:rPr>
        <w:t>timely submit</w:t>
      </w:r>
      <w:r w:rsidRPr="007B2920">
        <w:t xml:space="preserve"> a written objection as described above, you must also </w:t>
      </w:r>
      <w:r w:rsidRPr="007B2920">
        <w:rPr>
          <w:lang w:val="en-US"/>
        </w:rPr>
        <w:t xml:space="preserve">file </w:t>
      </w:r>
      <w:r w:rsidRPr="007B2920">
        <w:t xml:space="preserve">a notice of appearance </w:t>
      </w:r>
      <w:r w:rsidRPr="007B2920">
        <w:rPr>
          <w:lang w:val="en-US"/>
        </w:rPr>
        <w:t>with the</w:t>
      </w:r>
      <w:r w:rsidRPr="007B2920">
        <w:t xml:space="preserve"> </w:t>
      </w:r>
      <w:r w:rsidRPr="007B2920">
        <w:rPr>
          <w:lang w:val="en-US"/>
        </w:rPr>
        <w:t>Clerk’s Office</w:t>
      </w:r>
      <w:r w:rsidRPr="007B2920">
        <w:t xml:space="preserve">. Persons who intend to object and </w:t>
      </w:r>
      <w:r w:rsidRPr="007B2920">
        <w:rPr>
          <w:lang w:val="en-US"/>
        </w:rPr>
        <w:t>d</w:t>
      </w:r>
      <w:proofErr w:type="spellStart"/>
      <w:r w:rsidRPr="007B2920">
        <w:t>esire</w:t>
      </w:r>
      <w:proofErr w:type="spellEnd"/>
      <w:r w:rsidRPr="007B2920">
        <w:t xml:space="preserve"> to present evidence at the Settlement Hearing must include in their written objection or notice of appearance the identity of any witnesses they may call to testify and exhibits they intend to introduce into evidence at the hearing.</w:t>
      </w:r>
      <w:r w:rsidRPr="007B2920">
        <w:rPr>
          <w:lang w:val="en-US"/>
        </w:rPr>
        <w:t xml:space="preserve"> </w:t>
      </w:r>
      <w:r w:rsidRPr="007B2920">
        <w:t>Such persons may be heard orally at the discretion of the Court.</w:t>
      </w:r>
    </w:p>
    <w:p w14:paraId="5B1C1B7F" w14:textId="6DE28933" w:rsidR="008B1B77" w:rsidRPr="007B2920" w:rsidRDefault="00670596" w:rsidP="003751CA">
      <w:pPr>
        <w:pStyle w:val="Heading1"/>
        <w:tabs>
          <w:tab w:val="clear" w:pos="2160"/>
        </w:tabs>
        <w:spacing w:before="120" w:after="120"/>
        <w:ind w:left="0"/>
      </w:pPr>
      <w:r w:rsidRPr="007B2920">
        <w:t xml:space="preserve">You are not required to hire an attorney to represent you in making written objections or in appearing at the Settlement Hearing. </w:t>
      </w:r>
      <w:r w:rsidRPr="007B2920">
        <w:rPr>
          <w:lang w:val="en-US"/>
        </w:rPr>
        <w:t>However, if</w:t>
      </w:r>
      <w:r w:rsidRPr="007B2920">
        <w:t xml:space="preserve"> you decide to hire an attorney, </w:t>
      </w:r>
      <w:r w:rsidRPr="007B2920">
        <w:rPr>
          <w:lang w:val="en-US"/>
        </w:rPr>
        <w:t>it</w:t>
      </w:r>
      <w:r w:rsidRPr="007B2920">
        <w:t xml:space="preserve"> will be at your own expense, and that attorney must file a notice of appearance with the Court</w:t>
      </w:r>
      <w:r w:rsidRPr="007B2920">
        <w:rPr>
          <w:lang w:val="en-US"/>
        </w:rPr>
        <w:t xml:space="preserve"> </w:t>
      </w:r>
      <w:r w:rsidRPr="007B2920">
        <w:t>at the address set forth in ¶</w:t>
      </w:r>
      <w:r w:rsidRPr="007B2920">
        <w:rPr>
          <w:lang w:val="en-US"/>
        </w:rPr>
        <w:t xml:space="preserve"> </w:t>
      </w:r>
      <w:r w:rsidR="006A571A" w:rsidRPr="007B2920">
        <w:rPr>
          <w:lang w:val="en-US"/>
        </w:rPr>
        <w:t>72</w:t>
      </w:r>
      <w:r w:rsidRPr="007B2920">
        <w:t xml:space="preserve"> above so that the notice is </w:t>
      </w:r>
      <w:r w:rsidRPr="007B2920">
        <w:rPr>
          <w:b/>
          <w:i/>
        </w:rPr>
        <w:t>received</w:t>
      </w:r>
      <w:r w:rsidRPr="007B2920">
        <w:rPr>
          <w:b/>
        </w:rPr>
        <w:t xml:space="preserve"> on or before</w:t>
      </w:r>
      <w:r w:rsidR="009949CD">
        <w:rPr>
          <w:b/>
        </w:rPr>
        <w:t xml:space="preserve"> April 3</w:t>
      </w:r>
      <w:r w:rsidR="002A4F8F" w:rsidRPr="007B2920">
        <w:rPr>
          <w:b/>
          <w:lang w:val="en-US"/>
        </w:rPr>
        <w:t>, 2025</w:t>
      </w:r>
      <w:r w:rsidRPr="007B2920">
        <w:t>.</w:t>
      </w:r>
    </w:p>
    <w:p w14:paraId="216C1EA1" w14:textId="5651B61E" w:rsidR="008B1B77" w:rsidRPr="007B2920" w:rsidRDefault="00670596" w:rsidP="00292F31">
      <w:pPr>
        <w:pStyle w:val="Heading1"/>
        <w:tabs>
          <w:tab w:val="clear" w:pos="2160"/>
        </w:tabs>
        <w:spacing w:before="120"/>
        <w:ind w:left="0"/>
        <w:rPr>
          <w:b/>
        </w:rPr>
      </w:pPr>
      <w:r w:rsidRPr="007B2920">
        <w:rPr>
          <w:b/>
        </w:rPr>
        <w:t>Unless the Court orders otherwise, any Class Member who does not object in the manner described above will be deemed to have waived any objection and shall be forever foreclosed from making any objection to</w:t>
      </w:r>
      <w:r w:rsidRPr="007B2920">
        <w:rPr>
          <w:b/>
          <w:lang w:val="en-US"/>
        </w:rPr>
        <w:t xml:space="preserve"> </w:t>
      </w:r>
      <w:r w:rsidRPr="007B2920">
        <w:rPr>
          <w:b/>
        </w:rPr>
        <w:t>the proposed Settlement, the proposed Plan of Allocation</w:t>
      </w:r>
      <w:r w:rsidRPr="007B2920">
        <w:rPr>
          <w:b/>
          <w:lang w:val="en-US"/>
        </w:rPr>
        <w:t>,</w:t>
      </w:r>
      <w:r w:rsidRPr="007B2920">
        <w:rPr>
          <w:b/>
        </w:rPr>
        <w:t xml:space="preserve"> </w:t>
      </w:r>
      <w:r w:rsidRPr="007B2920">
        <w:rPr>
          <w:b/>
          <w:lang w:val="en-US"/>
        </w:rPr>
        <w:t>and/</w:t>
      </w:r>
      <w:r w:rsidRPr="007B2920">
        <w:rPr>
          <w:b/>
        </w:rPr>
        <w:t xml:space="preserve">or </w:t>
      </w:r>
      <w:r w:rsidR="00386180" w:rsidRPr="007B2920">
        <w:rPr>
          <w:b/>
          <w:lang w:val="en-US"/>
        </w:rPr>
        <w:t xml:space="preserve">Class </w:t>
      </w:r>
      <w:r w:rsidRPr="007B2920">
        <w:rPr>
          <w:b/>
        </w:rPr>
        <w:t xml:space="preserve">Counsel’s </w:t>
      </w:r>
      <w:r w:rsidRPr="007B2920">
        <w:rPr>
          <w:b/>
          <w:lang w:val="en-US"/>
        </w:rPr>
        <w:t>motion</w:t>
      </w:r>
      <w:r w:rsidRPr="007B2920">
        <w:rPr>
          <w:b/>
        </w:rPr>
        <w:t xml:space="preserve"> for attorneys’ fees and </w:t>
      </w:r>
      <w:r w:rsidRPr="007B2920">
        <w:rPr>
          <w:b/>
          <w:lang w:val="en-US"/>
        </w:rPr>
        <w:t>Litigation Expenses</w:t>
      </w:r>
      <w:r w:rsidRPr="007B2920">
        <w:rPr>
          <w:b/>
        </w:rPr>
        <w:t>.</w:t>
      </w:r>
      <w:r w:rsidRPr="007B2920">
        <w:rPr>
          <w:b/>
          <w:lang w:val="en-US"/>
        </w:rPr>
        <w:t xml:space="preserve"> </w:t>
      </w:r>
      <w:r w:rsidRPr="007B2920">
        <w:rPr>
          <w:b/>
        </w:rPr>
        <w:t>Class Members do not need to appear at the Settlement Hearing or take any other action to indicate their approval.</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495"/>
      </w:tblGrid>
      <w:tr w:rsidR="00C208DC" w:rsidRPr="007B2920" w14:paraId="4852A9BD" w14:textId="77777777">
        <w:trPr>
          <w:jc w:val="center"/>
        </w:trPr>
        <w:tc>
          <w:tcPr>
            <w:tcW w:w="9495" w:type="dxa"/>
            <w:shd w:val="clear" w:color="auto" w:fill="E0E0E0"/>
          </w:tcPr>
          <w:p w14:paraId="4A08A299" w14:textId="0AA63BA6" w:rsidR="008B1B77" w:rsidRPr="007B2920" w:rsidRDefault="00670596" w:rsidP="00084138">
            <w:pPr>
              <w:keepNext/>
              <w:tabs>
                <w:tab w:val="left" w:pos="-180"/>
              </w:tabs>
              <w:spacing w:before="60" w:after="60"/>
              <w:jc w:val="center"/>
              <w:rPr>
                <w:b/>
              </w:rPr>
            </w:pPr>
            <w:r w:rsidRPr="007B2920">
              <w:rPr>
                <w:b/>
              </w:rPr>
              <w:lastRenderedPageBreak/>
              <w:t xml:space="preserve">WHAT IF I BOUGHT </w:t>
            </w:r>
            <w:r w:rsidR="00386180" w:rsidRPr="007B2920">
              <w:rPr>
                <w:b/>
              </w:rPr>
              <w:t>GE COMMON STOCK</w:t>
            </w:r>
            <w:r w:rsidR="00FA5A1B">
              <w:rPr>
                <w:b/>
              </w:rPr>
              <w:t xml:space="preserve"> </w:t>
            </w:r>
            <w:r w:rsidRPr="007B2920">
              <w:rPr>
                <w:b/>
              </w:rPr>
              <w:t>ON SOMEONE ELSE’S BEHALF?</w:t>
            </w:r>
          </w:p>
        </w:tc>
      </w:tr>
    </w:tbl>
    <w:p w14:paraId="6B33927B" w14:textId="66569E1E" w:rsidR="00386180" w:rsidRPr="007B2920" w:rsidRDefault="00670596" w:rsidP="003751CA">
      <w:pPr>
        <w:pStyle w:val="Heading1"/>
        <w:tabs>
          <w:tab w:val="clear" w:pos="2160"/>
        </w:tabs>
        <w:spacing w:before="120" w:after="120"/>
        <w:ind w:left="0"/>
      </w:pPr>
      <w:r w:rsidRPr="007B2920">
        <w:rPr>
          <w:b/>
          <w:bCs w:val="0"/>
        </w:rPr>
        <w:t xml:space="preserve">Please Note: If you previously provided the names and addresses of persons and entities on whose behalf you purchased or acquired </w:t>
      </w:r>
      <w:r w:rsidRPr="007B2920">
        <w:rPr>
          <w:b/>
          <w:bCs w:val="0"/>
          <w:lang w:val="en-US"/>
        </w:rPr>
        <w:t>GE</w:t>
      </w:r>
      <w:r w:rsidRPr="007B2920">
        <w:rPr>
          <w:b/>
          <w:bCs w:val="0"/>
        </w:rPr>
        <w:t xml:space="preserve"> common stock between </w:t>
      </w:r>
      <w:r w:rsidRPr="007B2920">
        <w:rPr>
          <w:b/>
        </w:rPr>
        <w:t>February 29, 2016 and January 23, 2018, inclusive</w:t>
      </w:r>
      <w:r w:rsidRPr="007B2920">
        <w:rPr>
          <w:b/>
          <w:bCs w:val="0"/>
        </w:rPr>
        <w:t>, in connection with Class Notice, and (</w:t>
      </w:r>
      <w:proofErr w:type="spellStart"/>
      <w:r w:rsidRPr="007B2920">
        <w:rPr>
          <w:b/>
          <w:bCs w:val="0"/>
        </w:rPr>
        <w:t>i</w:t>
      </w:r>
      <w:proofErr w:type="spellEnd"/>
      <w:r w:rsidRPr="007B2920">
        <w:rPr>
          <w:b/>
          <w:bCs w:val="0"/>
        </w:rPr>
        <w:t>)</w:t>
      </w:r>
      <w:r w:rsidR="00FA5A1B">
        <w:rPr>
          <w:b/>
          <w:bCs w:val="0"/>
        </w:rPr>
        <w:t> </w:t>
      </w:r>
      <w:r w:rsidRPr="007B2920">
        <w:rPr>
          <w:b/>
          <w:bCs w:val="0"/>
        </w:rPr>
        <w:t xml:space="preserve">those names and addresses remain current and (ii) you have no additional names and addresses for potential Class Members to provide to the Claims Administrator, </w:t>
      </w:r>
      <w:r w:rsidRPr="007B2920">
        <w:rPr>
          <w:b/>
          <w:bCs w:val="0"/>
          <w:i/>
          <w:iCs/>
        </w:rPr>
        <w:t>you need do nothing further at this time</w:t>
      </w:r>
      <w:r w:rsidRPr="007B2920">
        <w:rPr>
          <w:b/>
          <w:bCs w:val="0"/>
        </w:rPr>
        <w:t xml:space="preserve">. The Claims Administrator will mail a Postcard Notice to the beneficial owners whose names and addresses were previously provided in connection with the Class Notice. </w:t>
      </w:r>
      <w:r w:rsidRPr="007B2920">
        <w:t xml:space="preserve">If you elected to mail the Class Notice directly to beneficial owners, you were advised that you must retain the mailing records for use in connection with any further notices that may be provided in the Action. If you elected this option, the Claims Administrator will forward the same number of Postcard Notices to you to send to the beneficial owners. If you require more copies of the Postcard Notice than you previously requested in connection with the Class Notice mailing, please contact the Claims Administrator, </w:t>
      </w:r>
      <w:r w:rsidRPr="007B2920">
        <w:rPr>
          <w:lang w:val="en-US"/>
        </w:rPr>
        <w:t>JND</w:t>
      </w:r>
      <w:r w:rsidRPr="007B2920">
        <w:t>, toll free at</w:t>
      </w:r>
      <w:r w:rsidRPr="007B2920">
        <w:rPr>
          <w:lang w:val="en-US"/>
        </w:rPr>
        <w:t xml:space="preserve"> </w:t>
      </w:r>
      <w:r w:rsidRPr="007B2920">
        <w:t>1-844-202-9485</w:t>
      </w:r>
      <w:r w:rsidRPr="007B2920">
        <w:rPr>
          <w:lang w:val="en-US"/>
        </w:rPr>
        <w:t xml:space="preserve"> or by email at </w:t>
      </w:r>
      <w:r w:rsidR="006038A9" w:rsidRPr="007B2920">
        <w:rPr>
          <w:lang w:val="en-US"/>
        </w:rPr>
        <w:t>info@</w:t>
      </w:r>
      <w:r w:rsidRPr="007B2920">
        <w:rPr>
          <w:lang w:val="en-US"/>
        </w:rPr>
        <w:t xml:space="preserve">GeneralElectrictSecuritiesLitigation.com, </w:t>
      </w:r>
      <w:r w:rsidRPr="007B2920">
        <w:t>and let them know how many additional packets you require. You must mail the Postcard Notice to the beneficial owners within seven (7) calendar days of your receipt of the Postcard Notices.</w:t>
      </w:r>
    </w:p>
    <w:p w14:paraId="6AF1112C" w14:textId="7AD5971D" w:rsidR="00FA6DB6" w:rsidRPr="007B2920" w:rsidRDefault="00670596" w:rsidP="003751CA">
      <w:pPr>
        <w:pStyle w:val="Heading1"/>
        <w:tabs>
          <w:tab w:val="clear" w:pos="2160"/>
        </w:tabs>
        <w:spacing w:before="120" w:after="120"/>
        <w:ind w:left="0"/>
        <w:rPr>
          <w:b/>
          <w:sz w:val="28"/>
          <w:szCs w:val="28"/>
        </w:rPr>
      </w:pPr>
      <w:r w:rsidRPr="007B2920">
        <w:t xml:space="preserve">If you have not already provided the names and addresses for persons and entities on whose behalf you purchased or acquired </w:t>
      </w:r>
      <w:r w:rsidRPr="007B2920">
        <w:rPr>
          <w:lang w:val="en-US"/>
        </w:rPr>
        <w:t>GE</w:t>
      </w:r>
      <w:r w:rsidRPr="007B2920">
        <w:t xml:space="preserve"> common stock </w:t>
      </w:r>
      <w:r w:rsidRPr="007B2920">
        <w:rPr>
          <w:lang w:val="en-US"/>
        </w:rPr>
        <w:t xml:space="preserve">between </w:t>
      </w:r>
      <w:r w:rsidRPr="007B2920">
        <w:t>February 29, 2016 and January 23, 2018, inclusive in connection with Class Notice, then the Court has ordered that you must, WITHIN SEVEN (7) CALENDAR DAYS OF YOUR RECEIPT OF THIS NOTICE, either: (</w:t>
      </w:r>
      <w:proofErr w:type="spellStart"/>
      <w:r w:rsidRPr="007B2920">
        <w:t>i</w:t>
      </w:r>
      <w:proofErr w:type="spellEnd"/>
      <w:r w:rsidRPr="007B2920">
        <w:t xml:space="preserve">) send the Postcard Notice to all beneficial owners of such </w:t>
      </w:r>
      <w:r w:rsidRPr="007B2920">
        <w:rPr>
          <w:lang w:val="en-US"/>
        </w:rPr>
        <w:t>GE c</w:t>
      </w:r>
      <w:proofErr w:type="spellStart"/>
      <w:r w:rsidRPr="007B2920">
        <w:t>ommon</w:t>
      </w:r>
      <w:proofErr w:type="spellEnd"/>
      <w:r w:rsidRPr="007B2920">
        <w:t xml:space="preserve"> stock, or (ii) send a list of the names and addresses of such beneficial owners to the Claims Administrator at </w:t>
      </w:r>
      <w:r w:rsidRPr="007B2920">
        <w:rPr>
          <w:i/>
          <w:color w:val="231F20"/>
        </w:rPr>
        <w:t>General Electric Securities Litigation</w:t>
      </w:r>
      <w:r w:rsidRPr="007B2920">
        <w:rPr>
          <w:iCs/>
          <w:color w:val="231F20"/>
          <w:lang w:val="en-US"/>
        </w:rPr>
        <w:t xml:space="preserve">, </w:t>
      </w:r>
      <w:r w:rsidRPr="007B2920">
        <w:rPr>
          <w:iCs/>
          <w:color w:val="231F20"/>
        </w:rPr>
        <w:t>c/o JND Legal Administration</w:t>
      </w:r>
      <w:r w:rsidRPr="007B2920">
        <w:rPr>
          <w:iCs/>
          <w:color w:val="231F20"/>
          <w:lang w:val="en-US"/>
        </w:rPr>
        <w:t xml:space="preserve">, </w:t>
      </w:r>
      <w:r w:rsidRPr="007B2920">
        <w:rPr>
          <w:iCs/>
          <w:color w:val="231F20"/>
        </w:rPr>
        <w:t>P.O. Box 91449</w:t>
      </w:r>
      <w:r w:rsidRPr="007B2920">
        <w:rPr>
          <w:iCs/>
          <w:color w:val="231F20"/>
          <w:lang w:val="en-US"/>
        </w:rPr>
        <w:t xml:space="preserve">, </w:t>
      </w:r>
      <w:r w:rsidRPr="007B2920">
        <w:rPr>
          <w:iCs/>
          <w:color w:val="231F20"/>
        </w:rPr>
        <w:t>Seattle, WA 98111</w:t>
      </w:r>
      <w:r w:rsidRPr="007B2920">
        <w:t xml:space="preserve">, in which event the Claims Administrator shall promptly mail the Postcard Notice to such beneficial owners. </w:t>
      </w:r>
      <w:r w:rsidRPr="007B2920">
        <w:rPr>
          <w:b/>
          <w:bCs w:val="0"/>
        </w:rPr>
        <w:t>AS STATED ABOVE, IF YOU HAVE ALREADY PROVIDED THIS INFORMATION IN CONNECTION WITH CLASS NOTICE, UNLESS THAT INFORMATION HAS CHANGED (</w:t>
      </w:r>
      <w:r w:rsidRPr="007B2920">
        <w:rPr>
          <w:b/>
          <w:bCs w:val="0"/>
          <w:i/>
          <w:iCs/>
        </w:rPr>
        <w:t>E.G.</w:t>
      </w:r>
      <w:r w:rsidRPr="007B2920">
        <w:rPr>
          <w:b/>
          <w:bCs w:val="0"/>
        </w:rPr>
        <w:t>,</w:t>
      </w:r>
      <w:r w:rsidRPr="007B2920">
        <w:rPr>
          <w:lang w:val="en-US"/>
        </w:rPr>
        <w:t xml:space="preserve"> </w:t>
      </w:r>
      <w:r w:rsidRPr="007B2920">
        <w:rPr>
          <w:b/>
        </w:rPr>
        <w:t>BENEFICIAL OWNER HAS CHANGED ADDRESS), IT IS UNNECESSARY TO PROVIDE SUCH INFORMATION AGAIN.</w:t>
      </w:r>
      <w:r w:rsidRPr="007B2920">
        <w:rPr>
          <w:b/>
          <w:sz w:val="28"/>
          <w:szCs w:val="28"/>
        </w:rPr>
        <w:t xml:space="preserve"> </w:t>
      </w:r>
    </w:p>
    <w:p w14:paraId="7B2DCF04" w14:textId="68B080FC" w:rsidR="00386180" w:rsidRPr="007B2920" w:rsidRDefault="00670596" w:rsidP="003751CA">
      <w:pPr>
        <w:pStyle w:val="Heading1"/>
        <w:tabs>
          <w:tab w:val="clear" w:pos="2160"/>
        </w:tabs>
        <w:spacing w:before="120" w:after="120"/>
        <w:ind w:left="0"/>
      </w:pPr>
      <w:r w:rsidRPr="007B2920">
        <w:t xml:space="preserve">Upon full and timely compliance with these directions, nominees who mail the Postcard Notice to beneficial owners may seek reimbursement of their reasonable expenses actually incurred by providing the Claims Administrator with proper documentation supporting the expenses for which reimbursement is sought. </w:t>
      </w:r>
      <w:r w:rsidRPr="007B2920">
        <w:rPr>
          <w:color w:val="000000"/>
        </w:rPr>
        <w:t>Reasonable expenses shall not exceed $0.10 per mailing record provided to the Claims Administrator; $0.50 per Postcard Notice actually mailed, which amount includes postage; and $0.10 per Postcard Notice sent via email.</w:t>
      </w:r>
      <w:r w:rsidRPr="007B2920">
        <w:rPr>
          <w:lang w:val="en-US"/>
        </w:rPr>
        <w:t xml:space="preserve"> </w:t>
      </w:r>
      <w:r w:rsidRPr="007B2920">
        <w:t>Such properly documented expenses incurred by nominees in compliance with these directions shall be paid from the Settlement Fund, with any disputes as to the reasonableness or documentation of expenses incurred subject to review by the Court.</w:t>
      </w:r>
    </w:p>
    <w:p w14:paraId="36B4CB25" w14:textId="163AF102" w:rsidR="00084138" w:rsidRDefault="00670596" w:rsidP="00292F31">
      <w:pPr>
        <w:pStyle w:val="Heading1"/>
        <w:tabs>
          <w:tab w:val="clear" w:pos="2160"/>
        </w:tabs>
        <w:spacing w:before="120"/>
        <w:ind w:left="0"/>
      </w:pPr>
      <w:r w:rsidRPr="007B2920">
        <w:t xml:space="preserve">Copies </w:t>
      </w:r>
      <w:r w:rsidRPr="007B2920">
        <w:rPr>
          <w:color w:val="000000"/>
        </w:rPr>
        <w:t>of</w:t>
      </w:r>
      <w:r w:rsidRPr="007B2920">
        <w:t xml:space="preserve"> the Notice and the Claim Form may be obtained from the </w:t>
      </w:r>
      <w:r w:rsidR="00EA5130" w:rsidRPr="007B2920">
        <w:rPr>
          <w:lang w:val="en-US"/>
        </w:rPr>
        <w:t xml:space="preserve">case </w:t>
      </w:r>
      <w:r w:rsidRPr="007B2920">
        <w:t xml:space="preserve">website, </w:t>
      </w:r>
      <w:r w:rsidRPr="007B2920">
        <w:rPr>
          <w:u w:val="single"/>
        </w:rPr>
        <w:t>www.</w:t>
      </w:r>
      <w:r w:rsidR="00EA5130" w:rsidRPr="007B2920">
        <w:rPr>
          <w:u w:val="single"/>
          <w:lang w:val="en-US"/>
        </w:rPr>
        <w:t>GeneralElectric</w:t>
      </w:r>
      <w:r w:rsidRPr="007B2920">
        <w:rPr>
          <w:u w:val="single"/>
          <w:lang w:val="en-US"/>
        </w:rPr>
        <w:t>SecuritiesLitigation</w:t>
      </w:r>
      <w:r w:rsidRPr="007B2920">
        <w:rPr>
          <w:u w:val="single"/>
        </w:rPr>
        <w:t>.com</w:t>
      </w:r>
      <w:r w:rsidRPr="007B2920">
        <w:t>, by calling the Claims Administrator toll-free at</w:t>
      </w:r>
      <w:r w:rsidR="00EA5130" w:rsidRPr="007B2920">
        <w:rPr>
          <w:lang w:val="en-US"/>
        </w:rPr>
        <w:t xml:space="preserve"> </w:t>
      </w:r>
      <w:r w:rsidR="00FA5A1B">
        <w:rPr>
          <w:lang w:val="en-US"/>
        </w:rPr>
        <w:br/>
      </w:r>
      <w:r w:rsidR="00EA5130" w:rsidRPr="007B2920">
        <w:rPr>
          <w:color w:val="000000"/>
        </w:rPr>
        <w:t>1-</w:t>
      </w:r>
      <w:r w:rsidR="00EA5130" w:rsidRPr="007B2920">
        <w:t>844-202-9485</w:t>
      </w:r>
      <w:r w:rsidRPr="007B2920">
        <w:t xml:space="preserve">, or by </w:t>
      </w:r>
      <w:r w:rsidR="00EA5130" w:rsidRPr="007B2920">
        <w:rPr>
          <w:lang w:val="en-US"/>
        </w:rPr>
        <w:t xml:space="preserve">sending an </w:t>
      </w:r>
      <w:r w:rsidRPr="007B2920">
        <w:t>emai</w:t>
      </w:r>
      <w:r w:rsidR="00EA5130" w:rsidRPr="007B2920">
        <w:rPr>
          <w:lang w:val="en-US"/>
        </w:rPr>
        <w:t>l to</w:t>
      </w:r>
      <w:r w:rsidRPr="007B2920">
        <w:t xml:space="preserve"> </w:t>
      </w:r>
      <w:proofErr w:type="spellStart"/>
      <w:r w:rsidRPr="007B2920">
        <w:t>info@</w:t>
      </w:r>
      <w:r w:rsidR="00EA5130" w:rsidRPr="007B2920">
        <w:rPr>
          <w:lang w:val="en-US"/>
        </w:rPr>
        <w:t>GeneralElectric</w:t>
      </w:r>
      <w:r w:rsidRPr="007B2920">
        <w:rPr>
          <w:lang w:val="en-US"/>
        </w:rPr>
        <w:t>SecuritiesLitigation</w:t>
      </w:r>
      <w:proofErr w:type="spellEnd"/>
      <w:r w:rsidRPr="007B2920">
        <w:t>.com.</w:t>
      </w:r>
    </w:p>
    <w:p w14:paraId="6E3CA9D3" w14:textId="77777777" w:rsidR="00084138" w:rsidRDefault="00084138">
      <w:pPr>
        <w:rPr>
          <w:bCs/>
          <w:lang w:val="x-none" w:eastAsia="x-none"/>
        </w:rPr>
      </w:pPr>
      <w:r>
        <w:br w:type="page"/>
      </w:r>
    </w:p>
    <w:tbl>
      <w:tblPr>
        <w:tblW w:w="9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428"/>
      </w:tblGrid>
      <w:tr w:rsidR="00C208DC" w:rsidRPr="007B2920" w14:paraId="0CCE3221" w14:textId="77777777">
        <w:trPr>
          <w:jc w:val="center"/>
        </w:trPr>
        <w:tc>
          <w:tcPr>
            <w:tcW w:w="9428" w:type="dxa"/>
            <w:shd w:val="clear" w:color="auto" w:fill="E0E0E0"/>
          </w:tcPr>
          <w:p w14:paraId="7C395C1E" w14:textId="77777777" w:rsidR="006369EE" w:rsidRPr="007B2920" w:rsidRDefault="00670596" w:rsidP="00084138">
            <w:pPr>
              <w:keepNext/>
              <w:keepLines/>
              <w:tabs>
                <w:tab w:val="left" w:pos="-180"/>
              </w:tabs>
              <w:spacing w:before="60"/>
              <w:jc w:val="center"/>
              <w:rPr>
                <w:b/>
              </w:rPr>
            </w:pPr>
            <w:r w:rsidRPr="007B2920">
              <w:rPr>
                <w:b/>
              </w:rPr>
              <w:lastRenderedPageBreak/>
              <w:t xml:space="preserve">CAN I SEE THE COURT FILE?  </w:t>
            </w:r>
          </w:p>
          <w:p w14:paraId="3F8FDAEB" w14:textId="77777777" w:rsidR="008B1B77" w:rsidRPr="007B2920" w:rsidRDefault="00670596" w:rsidP="00084138">
            <w:pPr>
              <w:keepNext/>
              <w:keepLines/>
              <w:tabs>
                <w:tab w:val="left" w:pos="-180"/>
              </w:tabs>
              <w:spacing w:after="60"/>
              <w:jc w:val="center"/>
              <w:rPr>
                <w:b/>
              </w:rPr>
            </w:pPr>
            <w:r w:rsidRPr="007B2920">
              <w:rPr>
                <w:b/>
              </w:rPr>
              <w:t>WHOM SHOULD I CONTACT IF I HAVE QUESTIONS?</w:t>
            </w:r>
          </w:p>
        </w:tc>
      </w:tr>
    </w:tbl>
    <w:p w14:paraId="27F9E134" w14:textId="2812A255" w:rsidR="008B1B77" w:rsidRPr="007B2920" w:rsidRDefault="00670596" w:rsidP="00084138">
      <w:pPr>
        <w:pStyle w:val="Heading1"/>
        <w:tabs>
          <w:tab w:val="clear" w:pos="2160"/>
        </w:tabs>
        <w:spacing w:before="120" w:after="0"/>
        <w:ind w:left="0"/>
      </w:pPr>
      <w:r w:rsidRPr="007B2920">
        <w:t xml:space="preserve">This Notice contains only a summary of the terms of the Settlement. For </w:t>
      </w:r>
      <w:r w:rsidRPr="007B2920">
        <w:rPr>
          <w:lang w:val="en-US"/>
        </w:rPr>
        <w:t xml:space="preserve">the terms and conditions of the Settlement, please see the Stipulation available at </w:t>
      </w:r>
      <w:r w:rsidRPr="007B2920">
        <w:rPr>
          <w:rStyle w:val="Hyperlink"/>
          <w:color w:val="auto"/>
          <w:lang w:val="en-US"/>
        </w:rPr>
        <w:t>www.</w:t>
      </w:r>
      <w:r w:rsidR="00386180" w:rsidRPr="007B2920">
        <w:rPr>
          <w:rStyle w:val="Hyperlink"/>
          <w:color w:val="auto"/>
          <w:lang w:val="en-US"/>
        </w:rPr>
        <w:t>GeneralElectric</w:t>
      </w:r>
      <w:r w:rsidR="00296954" w:rsidRPr="007B2920">
        <w:rPr>
          <w:rStyle w:val="Hyperlink"/>
          <w:color w:val="auto"/>
          <w:lang w:val="en-US"/>
        </w:rPr>
        <w:t>Securities</w:t>
      </w:r>
      <w:r w:rsidRPr="007B2920">
        <w:rPr>
          <w:rStyle w:val="Hyperlink"/>
          <w:color w:val="auto"/>
          <w:lang w:val="en-US"/>
        </w:rPr>
        <w:t>Litigation.com</w:t>
      </w:r>
      <w:r w:rsidRPr="007B2920">
        <w:rPr>
          <w:lang w:val="en-US"/>
        </w:rPr>
        <w:t xml:space="preserve">. </w:t>
      </w:r>
      <w:proofErr w:type="spellStart"/>
      <w:r w:rsidRPr="007B2920">
        <w:rPr>
          <w:lang w:val="en-US"/>
        </w:rPr>
        <w:t>M</w:t>
      </w:r>
      <w:r w:rsidRPr="007B2920">
        <w:t>ore</w:t>
      </w:r>
      <w:proofErr w:type="spellEnd"/>
      <w:r w:rsidRPr="007B2920">
        <w:t xml:space="preserve"> detailed information about the matters involved in this Action</w:t>
      </w:r>
      <w:r w:rsidRPr="007B2920">
        <w:rPr>
          <w:lang w:val="en-US"/>
        </w:rPr>
        <w:t xml:space="preserve"> can be obtained by accessing the Court docket in this case, for a fee, through the Court’s Public Access to Court Electronic Records (PACER) system at </w:t>
      </w:r>
      <w:r w:rsidR="00386180" w:rsidRPr="007B2920">
        <w:rPr>
          <w:rStyle w:val="HTMLCite"/>
          <w:color w:val="auto"/>
          <w:u w:val="single"/>
          <w:lang w:val="en"/>
        </w:rPr>
        <w:t>https://ecf.sdny.uscourts.gov</w:t>
      </w:r>
      <w:r w:rsidRPr="007B2920">
        <w:t xml:space="preserve">, </w:t>
      </w:r>
      <w:r w:rsidRPr="007B2920">
        <w:rPr>
          <w:lang w:val="en-US"/>
        </w:rPr>
        <w:t xml:space="preserve">or </w:t>
      </w:r>
      <w:r w:rsidRPr="007B2920">
        <w:t>by</w:t>
      </w:r>
      <w:r w:rsidRPr="007B2920">
        <w:rPr>
          <w:lang w:val="en-US"/>
        </w:rPr>
        <w:t xml:space="preserve"> visiting, </w:t>
      </w:r>
      <w:r w:rsidRPr="007B2920">
        <w:t>during regular office hours</w:t>
      </w:r>
      <w:r w:rsidRPr="007B2920">
        <w:rPr>
          <w:lang w:val="en-US"/>
        </w:rPr>
        <w:t>,</w:t>
      </w:r>
      <w:r w:rsidRPr="007B2920">
        <w:t xml:space="preserve"> the Office of the Clerk, United States District Court for the </w:t>
      </w:r>
      <w:r w:rsidR="00FA6DB6" w:rsidRPr="007B2920">
        <w:rPr>
          <w:lang w:val="en-US"/>
        </w:rPr>
        <w:t>Southern</w:t>
      </w:r>
      <w:r w:rsidRPr="007B2920">
        <w:rPr>
          <w:lang w:val="en-US"/>
        </w:rPr>
        <w:t xml:space="preserve"> District of </w:t>
      </w:r>
      <w:r w:rsidR="00FA6DB6" w:rsidRPr="007B2920">
        <w:rPr>
          <w:lang w:val="en-US"/>
        </w:rPr>
        <w:t>New York,</w:t>
      </w:r>
      <w:r w:rsidRPr="007B2920">
        <w:rPr>
          <w:lang w:val="en-US"/>
        </w:rPr>
        <w:t xml:space="preserve"> </w:t>
      </w:r>
      <w:r w:rsidR="00FA6DB6" w:rsidRPr="007B2920">
        <w:t>Thurgood Marshall United States Courthouse</w:t>
      </w:r>
      <w:r w:rsidR="00FA6DB6" w:rsidRPr="007B2920">
        <w:rPr>
          <w:lang w:val="en-US"/>
        </w:rPr>
        <w:t xml:space="preserve">, </w:t>
      </w:r>
      <w:r w:rsidR="00FA6DB6" w:rsidRPr="007B2920">
        <w:t>40 Foley Square</w:t>
      </w:r>
      <w:r w:rsidR="00FA6DB6" w:rsidRPr="007B2920">
        <w:rPr>
          <w:lang w:val="en-US"/>
        </w:rPr>
        <w:t xml:space="preserve">, </w:t>
      </w:r>
      <w:r w:rsidR="00FA6DB6" w:rsidRPr="007B2920">
        <w:t>New York, NY 10007</w:t>
      </w:r>
      <w:r w:rsidRPr="007B2920">
        <w:t>. Additionally, copies of any related orders</w:t>
      </w:r>
      <w:r w:rsidRPr="007B2920">
        <w:rPr>
          <w:lang w:val="en-US"/>
        </w:rPr>
        <w:t xml:space="preserve"> </w:t>
      </w:r>
      <w:r w:rsidRPr="007B2920">
        <w:t xml:space="preserve">entered by the Court </w:t>
      </w:r>
      <w:r w:rsidRPr="007B2920">
        <w:rPr>
          <w:lang w:val="en-US"/>
        </w:rPr>
        <w:t>and certain other filings in this Action</w:t>
      </w:r>
      <w:r w:rsidRPr="007B2920">
        <w:t xml:space="preserve"> will be posted on the </w:t>
      </w:r>
      <w:r w:rsidR="00D93F59" w:rsidRPr="007B2920">
        <w:rPr>
          <w:lang w:val="en-US"/>
        </w:rPr>
        <w:t>w</w:t>
      </w:r>
      <w:r w:rsidRPr="007B2920">
        <w:rPr>
          <w:lang w:val="en-US"/>
        </w:rPr>
        <w:t>ebsite</w:t>
      </w:r>
      <w:r w:rsidRPr="007B2920">
        <w:t xml:space="preserve"> </w:t>
      </w:r>
      <w:r w:rsidRPr="007B2920">
        <w:rPr>
          <w:u w:val="single"/>
        </w:rPr>
        <w:t>www.</w:t>
      </w:r>
      <w:r w:rsidR="00FA6DB6" w:rsidRPr="007B2920">
        <w:rPr>
          <w:u w:val="single"/>
          <w:lang w:val="en-US"/>
        </w:rPr>
        <w:t>GeneralElectric</w:t>
      </w:r>
      <w:r w:rsidRPr="007B2920">
        <w:rPr>
          <w:u w:val="single"/>
          <w:lang w:val="en-US"/>
        </w:rPr>
        <w:t>SecuritiesLitigation</w:t>
      </w:r>
      <w:r w:rsidRPr="007B2920">
        <w:rPr>
          <w:u w:val="single"/>
        </w:rPr>
        <w:t>.com</w:t>
      </w:r>
      <w:r w:rsidRPr="007B2920">
        <w:t>.</w:t>
      </w:r>
    </w:p>
    <w:p w14:paraId="38414D6D" w14:textId="77777777" w:rsidR="008B1B77" w:rsidRPr="007B2920" w:rsidRDefault="008B1B77" w:rsidP="007B2920">
      <w:pPr>
        <w:rPr>
          <w:lang w:val="x-none" w:eastAsia="x-none"/>
        </w:rPr>
      </w:pPr>
    </w:p>
    <w:p w14:paraId="3C4417A7" w14:textId="77777777" w:rsidR="008B1B77" w:rsidRPr="007B2920" w:rsidRDefault="00670596" w:rsidP="007B2920">
      <w:pPr>
        <w:jc w:val="center"/>
      </w:pPr>
      <w:r w:rsidRPr="007B2920">
        <w:t>All inquiries concerning this Notice and the Claim Form should be directed to:</w:t>
      </w:r>
    </w:p>
    <w:p w14:paraId="1B4C3F55" w14:textId="77777777" w:rsidR="008B1B77" w:rsidRPr="007B2920" w:rsidRDefault="008B1B77" w:rsidP="007B2920">
      <w:pPr>
        <w:jc w:val="center"/>
      </w:pPr>
    </w:p>
    <w:p w14:paraId="1FD1DC90" w14:textId="77777777" w:rsidR="00FA6DB6" w:rsidRPr="007B2920" w:rsidRDefault="00670596" w:rsidP="007B2920">
      <w:pPr>
        <w:keepLines/>
        <w:jc w:val="center"/>
        <w:rPr>
          <w:bCs/>
          <w:iCs/>
        </w:rPr>
      </w:pPr>
      <w:r w:rsidRPr="007B2920">
        <w:rPr>
          <w:bCs/>
          <w:i/>
        </w:rPr>
        <w:t>General Electric Securities Litigation</w:t>
      </w:r>
    </w:p>
    <w:p w14:paraId="510751D5" w14:textId="77777777" w:rsidR="00FA6DB6" w:rsidRPr="007B2920" w:rsidRDefault="00670596" w:rsidP="007B2920">
      <w:pPr>
        <w:keepLines/>
        <w:jc w:val="center"/>
        <w:rPr>
          <w:bCs/>
          <w:iCs/>
        </w:rPr>
      </w:pPr>
      <w:r w:rsidRPr="007B2920">
        <w:rPr>
          <w:bCs/>
          <w:iCs/>
        </w:rPr>
        <w:t>c/o JND Legal Administration</w:t>
      </w:r>
    </w:p>
    <w:p w14:paraId="20DB4A32" w14:textId="77777777" w:rsidR="00FA6DB6" w:rsidRPr="007B2920" w:rsidRDefault="00670596" w:rsidP="007B2920">
      <w:pPr>
        <w:keepLines/>
        <w:jc w:val="center"/>
        <w:rPr>
          <w:bCs/>
          <w:iCs/>
        </w:rPr>
      </w:pPr>
      <w:r w:rsidRPr="007B2920">
        <w:rPr>
          <w:bCs/>
          <w:iCs/>
        </w:rPr>
        <w:t>P.O. Box 91449</w:t>
      </w:r>
    </w:p>
    <w:p w14:paraId="17BA36A2" w14:textId="77777777" w:rsidR="00FA6DB6" w:rsidRPr="007B2920" w:rsidRDefault="00670596" w:rsidP="007B2920">
      <w:pPr>
        <w:keepLines/>
        <w:jc w:val="center"/>
        <w:rPr>
          <w:bCs/>
        </w:rPr>
      </w:pPr>
      <w:r w:rsidRPr="007B2920">
        <w:rPr>
          <w:bCs/>
          <w:iCs/>
        </w:rPr>
        <w:t>Seattle, WA 98111</w:t>
      </w:r>
    </w:p>
    <w:p w14:paraId="5DCEAFDA" w14:textId="77777777" w:rsidR="00FA6DB6" w:rsidRPr="007B2920" w:rsidRDefault="00670596" w:rsidP="007B2920">
      <w:pPr>
        <w:keepLines/>
        <w:spacing w:before="120" w:after="120"/>
        <w:jc w:val="center"/>
      </w:pPr>
      <w:r w:rsidRPr="007B2920">
        <w:t>1-844-202-9485</w:t>
      </w:r>
    </w:p>
    <w:p w14:paraId="5D3D3794" w14:textId="77777777" w:rsidR="00FA6DB6" w:rsidRPr="007B2920" w:rsidRDefault="00670596" w:rsidP="007B2920">
      <w:pPr>
        <w:keepLines/>
        <w:jc w:val="center"/>
        <w:rPr>
          <w:rStyle w:val="Hyperlink"/>
          <w:color w:val="auto"/>
        </w:rPr>
      </w:pPr>
      <w:r w:rsidRPr="007B2920">
        <w:rPr>
          <w:rStyle w:val="Hyperlink"/>
          <w:color w:val="auto"/>
        </w:rPr>
        <w:t>info@GeneralElectricSecuritiesLitigation.com</w:t>
      </w:r>
    </w:p>
    <w:p w14:paraId="108A0C80" w14:textId="77777777" w:rsidR="00FA6DB6" w:rsidRPr="007B2920" w:rsidRDefault="00670596" w:rsidP="007B2920">
      <w:pPr>
        <w:keepLines/>
        <w:jc w:val="center"/>
        <w:rPr>
          <w:bCs/>
          <w:u w:val="single"/>
        </w:rPr>
      </w:pPr>
      <w:r w:rsidRPr="007B2920">
        <w:rPr>
          <w:bCs/>
          <w:u w:val="single"/>
        </w:rPr>
        <w:t>www.GeneralElectricSecuritiesLitigation.com</w:t>
      </w:r>
    </w:p>
    <w:p w14:paraId="6CB99BC8" w14:textId="3D2A6E2F" w:rsidR="00FA6DB6" w:rsidRPr="007B2920" w:rsidRDefault="00FA6DB6" w:rsidP="007B2920">
      <w:pPr>
        <w:keepLines/>
        <w:jc w:val="center"/>
        <w:rPr>
          <w:bCs/>
          <w:color w:val="000000"/>
          <w:sz w:val="12"/>
          <w:szCs w:val="12"/>
          <w:u w:val="single"/>
        </w:rPr>
      </w:pPr>
    </w:p>
    <w:p w14:paraId="4338FC32" w14:textId="0DE860AB" w:rsidR="008B1B77" w:rsidRPr="007B2920" w:rsidRDefault="00670596" w:rsidP="007B2920">
      <w:pPr>
        <w:jc w:val="center"/>
      </w:pPr>
      <w:r w:rsidRPr="007B2920">
        <w:t>and/or</w:t>
      </w:r>
    </w:p>
    <w:p w14:paraId="26D126A3" w14:textId="51001859" w:rsidR="00292F31" w:rsidRDefault="00292F31">
      <w:pPr>
        <w:rPr>
          <w:sz w:val="12"/>
          <w:szCs w:val="12"/>
        </w:rPr>
      </w:pPr>
    </w:p>
    <w:p w14:paraId="36867E00" w14:textId="77777777" w:rsidR="004006C7" w:rsidRPr="007B2920" w:rsidRDefault="00670596" w:rsidP="007B2920">
      <w:pPr>
        <w:jc w:val="center"/>
      </w:pPr>
      <w:r w:rsidRPr="007B2920">
        <w:t>Kessler Topaz Meltzer &amp; Check, LLP</w:t>
      </w:r>
    </w:p>
    <w:p w14:paraId="19D072C6" w14:textId="77777777" w:rsidR="00FA6DB6" w:rsidRPr="007B2920" w:rsidRDefault="00670596" w:rsidP="007B2920">
      <w:pPr>
        <w:jc w:val="center"/>
        <w:rPr>
          <w:lang w:val="es-MX"/>
        </w:rPr>
      </w:pPr>
      <w:proofErr w:type="spellStart"/>
      <w:r w:rsidRPr="007B2920">
        <w:rPr>
          <w:lang w:val="es-MX"/>
        </w:rPr>
        <w:t>Sharan</w:t>
      </w:r>
      <w:proofErr w:type="spellEnd"/>
      <w:r w:rsidRPr="007B2920">
        <w:rPr>
          <w:lang w:val="es-MX"/>
        </w:rPr>
        <w:t xml:space="preserve"> </w:t>
      </w:r>
      <w:proofErr w:type="spellStart"/>
      <w:r w:rsidRPr="007B2920">
        <w:rPr>
          <w:lang w:val="es-MX"/>
        </w:rPr>
        <w:t>Nirmul</w:t>
      </w:r>
      <w:proofErr w:type="spellEnd"/>
      <w:r w:rsidRPr="007B2920">
        <w:rPr>
          <w:lang w:val="es-MX"/>
        </w:rPr>
        <w:t>, Esq.</w:t>
      </w:r>
    </w:p>
    <w:p w14:paraId="6CCFDED5" w14:textId="77777777" w:rsidR="00FA6DB6" w:rsidRPr="007B2920" w:rsidRDefault="00670596" w:rsidP="007B2920">
      <w:pPr>
        <w:jc w:val="center"/>
        <w:rPr>
          <w:lang w:val="es-MX"/>
        </w:rPr>
      </w:pPr>
      <w:r w:rsidRPr="007B2920">
        <w:rPr>
          <w:lang w:val="es-MX"/>
        </w:rPr>
        <w:t>Richard A. Russo, Jr., Esq.</w:t>
      </w:r>
    </w:p>
    <w:p w14:paraId="7DA492F7" w14:textId="77777777" w:rsidR="00FA6DB6" w:rsidRPr="007B2920" w:rsidRDefault="00670596" w:rsidP="007B2920">
      <w:pPr>
        <w:jc w:val="center"/>
        <w:rPr>
          <w:lang w:val="es-MX"/>
        </w:rPr>
      </w:pPr>
      <w:r w:rsidRPr="007B2920">
        <w:rPr>
          <w:lang w:val="es-MX"/>
        </w:rPr>
        <w:t xml:space="preserve">Joshua A. </w:t>
      </w:r>
      <w:proofErr w:type="spellStart"/>
      <w:r w:rsidRPr="007B2920">
        <w:rPr>
          <w:lang w:val="es-MX"/>
        </w:rPr>
        <w:t>Materese</w:t>
      </w:r>
      <w:proofErr w:type="spellEnd"/>
      <w:r w:rsidRPr="007B2920">
        <w:rPr>
          <w:lang w:val="es-MX"/>
        </w:rPr>
        <w:t>, Esq.</w:t>
      </w:r>
    </w:p>
    <w:p w14:paraId="2DA70072" w14:textId="77777777" w:rsidR="00FA6DB6" w:rsidRPr="007B2920" w:rsidRDefault="00670596" w:rsidP="007B2920">
      <w:pPr>
        <w:jc w:val="center"/>
      </w:pPr>
      <w:r w:rsidRPr="007B2920">
        <w:t xml:space="preserve">280 King of Prussia Road </w:t>
      </w:r>
    </w:p>
    <w:p w14:paraId="7AC8F2D9" w14:textId="77777777" w:rsidR="00FA6DB6" w:rsidRPr="007B2920" w:rsidRDefault="00670596" w:rsidP="007B2920">
      <w:pPr>
        <w:jc w:val="center"/>
      </w:pPr>
      <w:r w:rsidRPr="007B2920">
        <w:t>Radnor, PA 19087</w:t>
      </w:r>
    </w:p>
    <w:p w14:paraId="0A195C15" w14:textId="77777777" w:rsidR="00FA6DB6" w:rsidRPr="007B2920" w:rsidRDefault="00670596" w:rsidP="007B2920">
      <w:pPr>
        <w:jc w:val="center"/>
      </w:pPr>
      <w:r w:rsidRPr="007B2920">
        <w:t>1-610-667-7706</w:t>
      </w:r>
    </w:p>
    <w:p w14:paraId="09EE3ED0" w14:textId="77777777" w:rsidR="00FA6DB6" w:rsidRPr="007B2920" w:rsidRDefault="00FA6DB6" w:rsidP="007B2920">
      <w:pPr>
        <w:jc w:val="center"/>
        <w:rPr>
          <w:sz w:val="12"/>
          <w:szCs w:val="12"/>
        </w:rPr>
      </w:pPr>
    </w:p>
    <w:p w14:paraId="13EC7959" w14:textId="22440B4E" w:rsidR="00FA6DB6" w:rsidRPr="007B2920" w:rsidRDefault="006038A9" w:rsidP="007B2920">
      <w:pPr>
        <w:spacing w:after="120"/>
        <w:jc w:val="center"/>
      </w:pPr>
      <w:hyperlink r:id="rId11" w:history="1">
        <w:r w:rsidRPr="007B2920">
          <w:rPr>
            <w:rStyle w:val="Hyperlink"/>
            <w:color w:val="auto"/>
          </w:rPr>
          <w:t>info@ktmc.com</w:t>
        </w:r>
      </w:hyperlink>
    </w:p>
    <w:p w14:paraId="7C2FE4D3" w14:textId="77777777" w:rsidR="00D93F59" w:rsidRPr="007B2920" w:rsidRDefault="00D93F59" w:rsidP="007B2920">
      <w:pPr>
        <w:rPr>
          <w:sz w:val="12"/>
          <w:szCs w:val="12"/>
        </w:rPr>
      </w:pPr>
    </w:p>
    <w:p w14:paraId="20E15AFC" w14:textId="77777777" w:rsidR="008B1B77" w:rsidRPr="007B2920" w:rsidRDefault="00670596" w:rsidP="007B2920">
      <w:pPr>
        <w:pStyle w:val="Heading1"/>
        <w:numPr>
          <w:ilvl w:val="0"/>
          <w:numId w:val="0"/>
        </w:numPr>
        <w:spacing w:after="0"/>
        <w:jc w:val="center"/>
        <w:rPr>
          <w:b/>
          <w:lang w:val="en-US"/>
        </w:rPr>
      </w:pPr>
      <w:r w:rsidRPr="007B2920">
        <w:rPr>
          <w:b/>
        </w:rPr>
        <w:t>PLEASE DO NOT CALL OR WRITE THE COURT</w:t>
      </w:r>
      <w:r w:rsidRPr="007B2920">
        <w:rPr>
          <w:b/>
          <w:lang w:val="en-US"/>
        </w:rPr>
        <w:t>,</w:t>
      </w:r>
      <w:r w:rsidRPr="007B2920">
        <w:rPr>
          <w:b/>
        </w:rPr>
        <w:t xml:space="preserve"> THE CLERK</w:t>
      </w:r>
      <w:r w:rsidRPr="007B2920">
        <w:rPr>
          <w:b/>
          <w:lang w:val="en-US"/>
        </w:rPr>
        <w:t xml:space="preserve">’S OFFICE, DEFENDANTS, OR DEFENDANTS’ COUNSEL </w:t>
      </w:r>
    </w:p>
    <w:p w14:paraId="006C3F5B" w14:textId="77777777" w:rsidR="008B1B77" w:rsidRPr="007B2920" w:rsidRDefault="00670596" w:rsidP="007B2920">
      <w:pPr>
        <w:pStyle w:val="Heading1"/>
        <w:numPr>
          <w:ilvl w:val="0"/>
          <w:numId w:val="0"/>
        </w:numPr>
        <w:spacing w:after="0"/>
        <w:jc w:val="center"/>
      </w:pPr>
      <w:r w:rsidRPr="007B2920">
        <w:rPr>
          <w:b/>
          <w:lang w:val="en-US"/>
        </w:rPr>
        <w:t>REGARDING THIS NOTICE</w:t>
      </w:r>
      <w:r w:rsidRPr="007B2920">
        <w:rPr>
          <w:b/>
        </w:rPr>
        <w:t>.</w:t>
      </w:r>
    </w:p>
    <w:p w14:paraId="53C73650" w14:textId="77777777" w:rsidR="008B1B77" w:rsidRPr="007B2920" w:rsidRDefault="008B1B77" w:rsidP="007B2920">
      <w:pPr>
        <w:rPr>
          <w:bCs/>
        </w:rPr>
      </w:pPr>
    </w:p>
    <w:p w14:paraId="1C7B7402" w14:textId="77777777" w:rsidR="008B1B77" w:rsidRPr="007B2920" w:rsidRDefault="008B1B77" w:rsidP="007B2920">
      <w:pPr>
        <w:rPr>
          <w:bCs/>
        </w:rPr>
      </w:pPr>
    </w:p>
    <w:p w14:paraId="471E209B" w14:textId="26B65534" w:rsidR="008B1B77" w:rsidRPr="007B2920" w:rsidRDefault="00670596" w:rsidP="007B2920">
      <w:pPr>
        <w:rPr>
          <w:bCs/>
        </w:rPr>
      </w:pPr>
      <w:r w:rsidRPr="007B2920">
        <w:rPr>
          <w:bCs/>
        </w:rPr>
        <w:t>Dated:</w:t>
      </w:r>
      <w:r w:rsidR="009949CD">
        <w:rPr>
          <w:bCs/>
        </w:rPr>
        <w:t xml:space="preserve"> February 20</w:t>
      </w:r>
      <w:r w:rsidRPr="007B2920">
        <w:rPr>
          <w:bCs/>
        </w:rPr>
        <w:t xml:space="preserve">, </w:t>
      </w:r>
      <w:proofErr w:type="gramStart"/>
      <w:r w:rsidRPr="007B2920">
        <w:rPr>
          <w:bCs/>
        </w:rPr>
        <w:t>202</w:t>
      </w:r>
      <w:r w:rsidR="00386180" w:rsidRPr="007B2920">
        <w:rPr>
          <w:bCs/>
        </w:rPr>
        <w:t>5</w:t>
      </w:r>
      <w:proofErr w:type="gramEnd"/>
      <w:r w:rsidR="00EC7D76" w:rsidRPr="007B2920">
        <w:rPr>
          <w:bCs/>
        </w:rPr>
        <w:tab/>
      </w:r>
      <w:r w:rsidR="00EC7D76" w:rsidRPr="007B2920">
        <w:rPr>
          <w:bCs/>
        </w:rPr>
        <w:tab/>
      </w:r>
      <w:r w:rsidR="00EC7D76" w:rsidRPr="007B2920">
        <w:rPr>
          <w:bCs/>
        </w:rPr>
        <w:tab/>
      </w:r>
      <w:r w:rsidR="00EC7D76" w:rsidRPr="007B2920">
        <w:rPr>
          <w:bCs/>
        </w:rPr>
        <w:tab/>
      </w:r>
      <w:r w:rsidR="00D93F59" w:rsidRPr="007B2920">
        <w:rPr>
          <w:bCs/>
        </w:rPr>
        <w:tab/>
      </w:r>
      <w:r w:rsidR="00EC7D76" w:rsidRPr="007B2920">
        <w:rPr>
          <w:bCs/>
        </w:rPr>
        <w:t>By Order of the Court</w:t>
      </w:r>
    </w:p>
    <w:p w14:paraId="69D5B6C5" w14:textId="77777777" w:rsidR="008B1B77" w:rsidRPr="007B2920" w:rsidRDefault="00670596" w:rsidP="007B2920">
      <w:pPr>
        <w:rPr>
          <w:bCs/>
        </w:rPr>
      </w:pPr>
      <w:r w:rsidRPr="007B2920">
        <w:rPr>
          <w:bCs/>
        </w:rPr>
        <w:tab/>
      </w:r>
      <w:r w:rsidRPr="007B2920">
        <w:rPr>
          <w:bCs/>
        </w:rPr>
        <w:tab/>
      </w:r>
      <w:r w:rsidRPr="007B2920">
        <w:rPr>
          <w:bCs/>
        </w:rPr>
        <w:tab/>
      </w:r>
      <w:r w:rsidRPr="007B2920">
        <w:rPr>
          <w:bCs/>
        </w:rPr>
        <w:tab/>
      </w:r>
      <w:r w:rsidRPr="007B2920">
        <w:rPr>
          <w:bCs/>
        </w:rPr>
        <w:tab/>
      </w:r>
      <w:r w:rsidRPr="007B2920">
        <w:rPr>
          <w:bCs/>
        </w:rPr>
        <w:tab/>
      </w:r>
      <w:r w:rsidRPr="007B2920">
        <w:rPr>
          <w:bCs/>
        </w:rPr>
        <w:tab/>
      </w:r>
      <w:r w:rsidRPr="007B2920">
        <w:rPr>
          <w:bCs/>
        </w:rPr>
        <w:tab/>
      </w:r>
      <w:r w:rsidR="00EC7D76" w:rsidRPr="007B2920">
        <w:rPr>
          <w:bCs/>
        </w:rPr>
        <w:t>United States District Court</w:t>
      </w:r>
    </w:p>
    <w:p w14:paraId="46D182F3" w14:textId="552546DF" w:rsidR="008B1B77" w:rsidRPr="007B2920" w:rsidRDefault="00670596" w:rsidP="007B2920">
      <w:pPr>
        <w:rPr>
          <w:bCs/>
        </w:rPr>
      </w:pPr>
      <w:r w:rsidRPr="007B2920">
        <w:rPr>
          <w:bCs/>
        </w:rPr>
        <w:tab/>
      </w:r>
      <w:r w:rsidRPr="007B2920">
        <w:rPr>
          <w:bCs/>
        </w:rPr>
        <w:tab/>
      </w:r>
      <w:r w:rsidRPr="007B2920">
        <w:rPr>
          <w:bCs/>
        </w:rPr>
        <w:tab/>
      </w:r>
      <w:r w:rsidRPr="007B2920">
        <w:rPr>
          <w:bCs/>
        </w:rPr>
        <w:tab/>
      </w:r>
      <w:r w:rsidRPr="007B2920">
        <w:rPr>
          <w:bCs/>
        </w:rPr>
        <w:tab/>
      </w:r>
      <w:r w:rsidRPr="007B2920">
        <w:rPr>
          <w:bCs/>
        </w:rPr>
        <w:tab/>
      </w:r>
      <w:r w:rsidRPr="007B2920">
        <w:rPr>
          <w:bCs/>
        </w:rPr>
        <w:tab/>
      </w:r>
      <w:r w:rsidRPr="007B2920">
        <w:rPr>
          <w:bCs/>
        </w:rPr>
        <w:tab/>
      </w:r>
      <w:r w:rsidR="00386180" w:rsidRPr="007B2920">
        <w:rPr>
          <w:bCs/>
        </w:rPr>
        <w:t>Southern</w:t>
      </w:r>
      <w:r w:rsidRPr="007B2920">
        <w:rPr>
          <w:bCs/>
        </w:rPr>
        <w:t xml:space="preserve"> District of </w:t>
      </w:r>
      <w:r w:rsidR="00386180" w:rsidRPr="007B2920">
        <w:rPr>
          <w:bCs/>
        </w:rPr>
        <w:t>New York</w:t>
      </w:r>
    </w:p>
    <w:p w14:paraId="6E9986E1" w14:textId="77777777" w:rsidR="008B1B77" w:rsidRPr="007B2920" w:rsidRDefault="00670596" w:rsidP="007B2920">
      <w:pPr>
        <w:jc w:val="center"/>
        <w:rPr>
          <w:b/>
          <w:bCs/>
        </w:rPr>
      </w:pPr>
      <w:r w:rsidRPr="007B2920">
        <w:rPr>
          <w:bCs/>
        </w:rPr>
        <w:br w:type="page"/>
      </w:r>
      <w:r w:rsidRPr="007B2920">
        <w:rPr>
          <w:b/>
          <w:bCs/>
        </w:rPr>
        <w:lastRenderedPageBreak/>
        <w:t>APPENDIX A</w:t>
      </w:r>
    </w:p>
    <w:p w14:paraId="12D86771" w14:textId="77777777" w:rsidR="008B1B77" w:rsidRPr="007B2920" w:rsidRDefault="008B1B77" w:rsidP="007B2920">
      <w:pPr>
        <w:jc w:val="center"/>
        <w:rPr>
          <w:bCs/>
        </w:rPr>
      </w:pPr>
    </w:p>
    <w:p w14:paraId="13051DB7" w14:textId="77777777" w:rsidR="008B1B77" w:rsidRPr="007B2920" w:rsidRDefault="00670596" w:rsidP="007B2920">
      <w:pPr>
        <w:jc w:val="center"/>
        <w:rPr>
          <w:b/>
          <w:bCs/>
          <w:u w:val="single"/>
        </w:rPr>
      </w:pPr>
      <w:r w:rsidRPr="007B2920">
        <w:rPr>
          <w:b/>
          <w:bCs/>
          <w:u w:val="single"/>
        </w:rPr>
        <w:t xml:space="preserve">Proposed Plan of Allocation of Net Settlement Fund </w:t>
      </w:r>
    </w:p>
    <w:p w14:paraId="738DBBB4" w14:textId="576BD64E" w:rsidR="0070405B" w:rsidRPr="007B2920" w:rsidRDefault="00670596" w:rsidP="007B2920">
      <w:pPr>
        <w:spacing w:after="240"/>
        <w:jc w:val="center"/>
        <w:rPr>
          <w:b/>
          <w:bCs/>
          <w:u w:val="single"/>
        </w:rPr>
      </w:pPr>
      <w:r w:rsidRPr="007B2920">
        <w:rPr>
          <w:b/>
          <w:bCs/>
          <w:u w:val="single"/>
        </w:rPr>
        <w:t>Among Authorized Claimants</w:t>
      </w:r>
    </w:p>
    <w:p w14:paraId="1F66E72C" w14:textId="77777777" w:rsidR="0070405B" w:rsidRPr="00292F31" w:rsidRDefault="00670596" w:rsidP="007B2920">
      <w:pPr>
        <w:ind w:firstLine="720"/>
        <w:jc w:val="both"/>
        <w:rPr>
          <w:spacing w:val="-2"/>
        </w:rPr>
      </w:pPr>
      <w:r w:rsidRPr="00292F31">
        <w:rPr>
          <w:spacing w:val="-2"/>
        </w:rPr>
        <w:t xml:space="preserve">The Plan of Allocation set forth herein is the plan that is being proposed to the Court for approval by Class Representatives after consultation with their </w:t>
      </w:r>
      <w:proofErr w:type="gramStart"/>
      <w:r w:rsidRPr="00292F31">
        <w:rPr>
          <w:spacing w:val="-2"/>
        </w:rPr>
        <w:t>damages</w:t>
      </w:r>
      <w:proofErr w:type="gramEnd"/>
      <w:r w:rsidRPr="00292F31">
        <w:rPr>
          <w:spacing w:val="-2"/>
        </w:rPr>
        <w:t xml:space="preserve"> expert. The Court may approve the Plan of Allocation with or without modification, or approve another plan of allocation, without further notice to the Class. Any Orders regarding a modification of the Plan of Allocation will be posted on the website </w:t>
      </w:r>
      <w:r w:rsidRPr="00292F31">
        <w:rPr>
          <w:spacing w:val="-2"/>
          <w:u w:val="single"/>
        </w:rPr>
        <w:t>www.GeneralElectricSecuritiesLitigation.com</w:t>
      </w:r>
      <w:r w:rsidRPr="00292F31">
        <w:rPr>
          <w:spacing w:val="-2"/>
        </w:rPr>
        <w:t>. Defendants have had, and will have, no involvement or responsibility for the terms or application of the Plan of Allocation.</w:t>
      </w:r>
    </w:p>
    <w:p w14:paraId="49BF4359" w14:textId="77777777" w:rsidR="0070405B" w:rsidRPr="007B2920" w:rsidRDefault="0070405B" w:rsidP="007B2920">
      <w:pPr>
        <w:jc w:val="both"/>
      </w:pPr>
    </w:p>
    <w:p w14:paraId="4987884B" w14:textId="77777777" w:rsidR="0070405B" w:rsidRPr="007B2920" w:rsidRDefault="00670596" w:rsidP="007B2920">
      <w:pPr>
        <w:ind w:firstLine="720"/>
        <w:jc w:val="both"/>
      </w:pPr>
      <w:r w:rsidRPr="007B2920">
        <w:t xml:space="preserve">The objective of the Plan of Allocation is to equitably distribute the Net Settlement Fund among those Class Members who suffered economic losses </w:t>
      </w:r>
      <w:proofErr w:type="gramStart"/>
      <w:r w:rsidRPr="007B2920">
        <w:t>as a result of</w:t>
      </w:r>
      <w:proofErr w:type="gramEnd"/>
      <w:r w:rsidRPr="007B2920">
        <w:t xml:space="preserve"> the alleged violations of the federal securities laws. The calculations made pursuant to the Plan of Allocation are not intended to be estimates of, nor indicative of, the amounts that Class Members might have been able to recover after a trial. Nor are the calculations pursuant to the Plan of Allocation intended to be estimates of the amounts that will be paid to Authorized Claimants pursuant to the Settlement. The computations under the Plan of Allocation are only a method to weigh the claims of Authorized Claimants against one another for the purposes of making </w:t>
      </w:r>
      <w:r w:rsidRPr="007B2920">
        <w:rPr>
          <w:i/>
          <w:iCs/>
        </w:rPr>
        <w:t xml:space="preserve">pro rata </w:t>
      </w:r>
      <w:r w:rsidRPr="007B2920">
        <w:t>allocations of the Net Settlement Fund.</w:t>
      </w:r>
    </w:p>
    <w:p w14:paraId="6F8492B7" w14:textId="77777777" w:rsidR="0070405B" w:rsidRPr="007B2920" w:rsidRDefault="0070405B" w:rsidP="007B2920">
      <w:pPr>
        <w:ind w:firstLine="720"/>
        <w:jc w:val="both"/>
      </w:pPr>
    </w:p>
    <w:p w14:paraId="4BFD5EC8" w14:textId="77777777" w:rsidR="0070405B" w:rsidRPr="007B2920" w:rsidRDefault="00670596" w:rsidP="007B2920">
      <w:pPr>
        <w:ind w:firstLine="720"/>
        <w:jc w:val="both"/>
      </w:pPr>
      <w:r w:rsidRPr="007B2920">
        <w:t xml:space="preserve">In developing the Plan of Allocation, Class Representatives’ damages expert calculated the estimated amount of alleged artificial inflation in the per-share closing price of GE common stock that allegedly was proximately caused by </w:t>
      </w:r>
      <w:proofErr w:type="gramStart"/>
      <w:r w:rsidRPr="007B2920">
        <w:t>Defendants’</w:t>
      </w:r>
      <w:proofErr w:type="gramEnd"/>
      <w:r w:rsidRPr="007B2920">
        <w:t xml:space="preserve"> alleged materially false and misleading statements and omissions during the Class Period. In calculating the estimated alleged artificial inflation allegedly caused by those alleged misrepresentations and omissions, Class Representatives’ damages expert considered price changes in GE common stock in reaction to certain public disclosures allegedly revealing the truth concerning Defendants’ alleged misrepresentations and omissions, adjusting for price changes on those days that were attributable to market and/or industry forces. The estimated alleged artificial inflation in the price of GE common stock for each day of the Class Period is provided in </w:t>
      </w:r>
      <w:r w:rsidRPr="007B2920">
        <w:rPr>
          <w:b/>
        </w:rPr>
        <w:t>Table 1</w:t>
      </w:r>
      <w:r w:rsidRPr="007B2920">
        <w:t xml:space="preserve"> below.</w:t>
      </w:r>
    </w:p>
    <w:p w14:paraId="5229F280" w14:textId="77777777" w:rsidR="0070405B" w:rsidRPr="007B2920" w:rsidRDefault="0070405B" w:rsidP="007B2920">
      <w:pPr>
        <w:ind w:firstLine="720"/>
        <w:jc w:val="both"/>
      </w:pPr>
    </w:p>
    <w:p w14:paraId="2E48FC28" w14:textId="77777777" w:rsidR="0070405B" w:rsidRPr="007B2920" w:rsidRDefault="00670596" w:rsidP="007B2920">
      <w:pPr>
        <w:ind w:firstLine="720"/>
        <w:jc w:val="both"/>
      </w:pPr>
      <w:proofErr w:type="gramStart"/>
      <w:r w:rsidRPr="007B2920">
        <w:t>In order to</w:t>
      </w:r>
      <w:proofErr w:type="gramEnd"/>
      <w:r w:rsidRPr="007B2920">
        <w:t xml:space="preserve"> have recoverable damages under the federal securities laws, the disclosure of the allegedly misrepresented information must be the cause of the decline in the price of the security. Accordingly, to have a “Recognized Loss Amount” pursuant to the Plan of Allocation, GE common stock must have been purchased or acquired during the Class Period (</w:t>
      </w:r>
      <w:r w:rsidRPr="007B2920">
        <w:rPr>
          <w:i/>
        </w:rPr>
        <w:t>i.e.</w:t>
      </w:r>
      <w:r w:rsidRPr="007B2920">
        <w:t>, the period between February 29, 2016 and</w:t>
      </w:r>
      <w:r w:rsidRPr="007B2920">
        <w:rPr>
          <w:lang w:eastAsia="zh-CN"/>
        </w:rPr>
        <w:t xml:space="preserve"> January 23, 2018</w:t>
      </w:r>
      <w:r w:rsidRPr="007B2920">
        <w:t xml:space="preserve">, inclusive) and </w:t>
      </w:r>
      <w:r w:rsidRPr="007B2920">
        <w:rPr>
          <w:b/>
          <w:i/>
        </w:rPr>
        <w:t xml:space="preserve">held through at least one </w:t>
      </w:r>
      <w:r w:rsidRPr="007B2920">
        <w:rPr>
          <w:bCs/>
          <w:iCs/>
        </w:rPr>
        <w:t xml:space="preserve">of the dates when the disclosure of alleged corrective information partially removed the alleged artificial inflation from the price of GE common stock. Class Representatives allege that </w:t>
      </w:r>
      <w:r w:rsidRPr="007B2920">
        <w:t>artificial inflation was partially removed from the price of GE common stock on the following six dates: April 21, 2017; July 21, 2017; October 20, 2017; November 13, 2017; January 16, 2018; and January 24, 2018 (collectively, “Corrective Disclosure Impact Dates”).</w:t>
      </w:r>
      <w:r w:rsidRPr="007B2920">
        <w:rPr>
          <w:rStyle w:val="FootnoteReference"/>
        </w:rPr>
        <w:footnoteReference w:id="9"/>
      </w:r>
    </w:p>
    <w:p w14:paraId="40FE5456" w14:textId="77777777" w:rsidR="0070405B" w:rsidRPr="007B2920" w:rsidRDefault="0070405B" w:rsidP="007B2920">
      <w:pPr>
        <w:ind w:firstLine="720"/>
        <w:jc w:val="both"/>
      </w:pPr>
    </w:p>
    <w:p w14:paraId="77F63DDB" w14:textId="77777777" w:rsidR="0070405B" w:rsidRPr="007B2920" w:rsidRDefault="00670596" w:rsidP="007B2920">
      <w:pPr>
        <w:keepNext/>
        <w:jc w:val="center"/>
        <w:rPr>
          <w:b/>
          <w:bCs/>
          <w:u w:val="single"/>
        </w:rPr>
      </w:pPr>
      <w:r w:rsidRPr="007B2920">
        <w:rPr>
          <w:b/>
          <w:bCs/>
          <w:u w:val="single"/>
        </w:rPr>
        <w:lastRenderedPageBreak/>
        <w:t>CALCULATION OF RECOGNIZED LOSS AMOUNTS</w:t>
      </w:r>
    </w:p>
    <w:p w14:paraId="3CAFF9DD" w14:textId="77777777" w:rsidR="0070405B" w:rsidRPr="007B2920" w:rsidRDefault="0070405B" w:rsidP="007B2920">
      <w:pPr>
        <w:keepNext/>
        <w:jc w:val="center"/>
        <w:rPr>
          <w:b/>
          <w:bCs/>
          <w:u w:val="single"/>
        </w:rPr>
      </w:pPr>
    </w:p>
    <w:p w14:paraId="46115E23" w14:textId="77777777" w:rsidR="0070405B" w:rsidRPr="007B2920" w:rsidRDefault="00670596" w:rsidP="00EA671E">
      <w:pPr>
        <w:pStyle w:val="ListParagraph"/>
        <w:numPr>
          <w:ilvl w:val="0"/>
          <w:numId w:val="29"/>
        </w:numPr>
        <w:spacing w:after="240"/>
        <w:ind w:left="0" w:firstLine="720"/>
        <w:jc w:val="both"/>
        <w:rPr>
          <w:u w:val="single"/>
        </w:rPr>
      </w:pPr>
      <w:r w:rsidRPr="007B2920">
        <w:t xml:space="preserve">For purposes of determining whether a Claimant has a “Recognized Claim,” purchases, acquisitions, and sales of GE common stock will first be matched on a “First In, First Out” (“FIFO”) basis as set forth in ¶ 8 below. </w:t>
      </w:r>
    </w:p>
    <w:p w14:paraId="2355502A" w14:textId="77777777" w:rsidR="0070405B" w:rsidRPr="007B2920" w:rsidRDefault="00670596" w:rsidP="00EA671E">
      <w:pPr>
        <w:pStyle w:val="ListParagraph"/>
        <w:numPr>
          <w:ilvl w:val="0"/>
          <w:numId w:val="29"/>
        </w:numPr>
        <w:spacing w:after="240"/>
        <w:ind w:left="0" w:firstLine="720"/>
        <w:jc w:val="both"/>
        <w:rPr>
          <w:u w:val="single"/>
        </w:rPr>
      </w:pPr>
      <w:r w:rsidRPr="007B2920">
        <w:t xml:space="preserve">A “Recognized Loss Amount” will be calculated as set forth below for each share of GE common stock purchased or acquired between February 29, </w:t>
      </w:r>
      <w:proofErr w:type="gramStart"/>
      <w:r w:rsidRPr="007B2920">
        <w:t>2016</w:t>
      </w:r>
      <w:proofErr w:type="gramEnd"/>
      <w:r w:rsidRPr="007B2920">
        <w:t xml:space="preserve"> and</w:t>
      </w:r>
      <w:r w:rsidRPr="007B2920">
        <w:rPr>
          <w:lang w:eastAsia="zh-CN"/>
        </w:rPr>
        <w:t xml:space="preserve"> January 23, 2018</w:t>
      </w:r>
      <w:r w:rsidRPr="007B2920">
        <w:t>, inclusive, that is listed in the Claim Form and for which adequate documentation is provided. To the extent that the calculation of a Recognized Loss Amount results in a negative number, that number shall be set to $0. The sum of a Claimant’s Recognized Loss Amounts will be the Claimant’s “Recognized Claim.”</w:t>
      </w:r>
    </w:p>
    <w:p w14:paraId="1AF120DE" w14:textId="77777777" w:rsidR="0070405B" w:rsidRPr="007B2920" w:rsidRDefault="00670596" w:rsidP="00EA671E">
      <w:pPr>
        <w:pStyle w:val="ListParagraph"/>
        <w:numPr>
          <w:ilvl w:val="0"/>
          <w:numId w:val="29"/>
        </w:numPr>
        <w:spacing w:after="240"/>
        <w:ind w:left="0" w:firstLine="720"/>
        <w:jc w:val="both"/>
        <w:rPr>
          <w:u w:val="single"/>
        </w:rPr>
      </w:pPr>
      <w:r w:rsidRPr="007B2920">
        <w:t xml:space="preserve">In the calculations below, all purchase, acquisition, and sale prices shall exclude any fees, taxes and commissions. Any transactions in GE common stock executed outside of regular trading hours for the U.S. </w:t>
      </w:r>
      <w:r w:rsidRPr="007B2920">
        <w:rPr>
          <w:color w:val="000000"/>
        </w:rPr>
        <w:t xml:space="preserve">financial markets </w:t>
      </w:r>
      <w:r w:rsidRPr="007B2920">
        <w:t>shall be deemed to have occurred during the next regular trading session.</w:t>
      </w:r>
    </w:p>
    <w:p w14:paraId="2F86B4AC" w14:textId="77777777" w:rsidR="0070405B" w:rsidRPr="00051EA5" w:rsidRDefault="00670596" w:rsidP="00EA671E">
      <w:pPr>
        <w:pStyle w:val="ListParagraph"/>
        <w:numPr>
          <w:ilvl w:val="0"/>
          <w:numId w:val="29"/>
        </w:numPr>
        <w:spacing w:after="240"/>
        <w:ind w:left="0" w:firstLine="720"/>
        <w:jc w:val="both"/>
        <w:rPr>
          <w:u w:val="single"/>
        </w:rPr>
      </w:pPr>
      <w:r w:rsidRPr="007B2920">
        <w:t xml:space="preserve">For each share of GE common stock purchased or acquired between February 29, </w:t>
      </w:r>
      <w:proofErr w:type="gramStart"/>
      <w:r w:rsidRPr="007B2920">
        <w:t>2016</w:t>
      </w:r>
      <w:proofErr w:type="gramEnd"/>
      <w:r w:rsidRPr="007B2920">
        <w:t xml:space="preserve"> and</w:t>
      </w:r>
      <w:r w:rsidRPr="007B2920">
        <w:rPr>
          <w:lang w:eastAsia="zh-CN"/>
        </w:rPr>
        <w:t xml:space="preserve"> January 23, 2018</w:t>
      </w:r>
      <w:r w:rsidRPr="007B2920">
        <w:t>, inclusive, and sold on or before April 23, 2018,</w:t>
      </w:r>
      <w:r w:rsidRPr="007B2920">
        <w:rPr>
          <w:vertAlign w:val="superscript"/>
        </w:rPr>
        <w:footnoteReference w:id="10"/>
      </w:r>
      <w:r w:rsidRPr="007B2920">
        <w:t xml:space="preserve"> an “Out of Pocket Loss” will be calculated. Out of Pocket Loss is defined as the per-share purchase/acquisition price </w:t>
      </w:r>
      <w:r w:rsidRPr="007B2920">
        <w:rPr>
          <w:i/>
          <w:iCs/>
        </w:rPr>
        <w:t xml:space="preserve">minus </w:t>
      </w:r>
      <w:r w:rsidRPr="007B2920">
        <w:t xml:space="preserve">the per-share sale price. As set forth below, the Recognized Loss Amount shall not exceed the </w:t>
      </w:r>
      <w:proofErr w:type="gramStart"/>
      <w:r w:rsidRPr="007B2920">
        <w:t>Out of Pocket</w:t>
      </w:r>
      <w:proofErr w:type="gramEnd"/>
      <w:r w:rsidRPr="007B2920">
        <w:t xml:space="preserve"> Loss for such shares.</w:t>
      </w:r>
    </w:p>
    <w:p w14:paraId="67068A52" w14:textId="77777777" w:rsidR="00051EA5" w:rsidRPr="007B2920" w:rsidRDefault="00051EA5" w:rsidP="00EA671E">
      <w:pPr>
        <w:pStyle w:val="ListParagraph"/>
        <w:numPr>
          <w:ilvl w:val="0"/>
          <w:numId w:val="29"/>
        </w:numPr>
        <w:spacing w:after="240"/>
        <w:ind w:left="0" w:firstLine="720"/>
        <w:jc w:val="both"/>
        <w:rPr>
          <w:rFonts w:ascii="TimesNewRomanPSMT2" w:hAnsi="TimesNewRomanPSMT2" w:cs="TimesNewRomanPSMT2"/>
          <w:lang w:eastAsia="zh-CN"/>
        </w:rPr>
      </w:pPr>
      <w:r w:rsidRPr="007B2920">
        <w:rPr>
          <w:rFonts w:ascii="TimesNewRomanPSMT2" w:hAnsi="TimesNewRomanPSMT2" w:cs="TimesNewRomanPSMT2"/>
          <w:b/>
          <w:bCs/>
          <w:u w:val="single"/>
          <w:lang w:eastAsia="zh-CN"/>
        </w:rPr>
        <w:t>PLEASE NOTE</w:t>
      </w:r>
      <w:r w:rsidRPr="007B2920">
        <w:rPr>
          <w:rFonts w:ascii="TimesNewRomanPSMT2" w:hAnsi="TimesNewRomanPSMT2" w:cs="TimesNewRomanPSMT2"/>
          <w:lang w:eastAsia="zh-CN"/>
        </w:rPr>
        <w:t xml:space="preserve">: In its Opinion and Order dated September 28, 2023, the Court denied Defendants’ motion for summary judgment, except as to claims arising from alleged corrective disclosures between November 2017 and January 2018. Accordingly, the estimated alleged artificial inflation for this dismissed period – </w:t>
      </w:r>
      <w:r w:rsidRPr="007B2920">
        <w:rPr>
          <w:rFonts w:ascii="TimesNewRomanPSMT2" w:hAnsi="TimesNewRomanPSMT2" w:cs="TimesNewRomanPSMT2"/>
          <w:i/>
          <w:iCs/>
          <w:lang w:eastAsia="zh-CN"/>
        </w:rPr>
        <w:t>i.e.</w:t>
      </w:r>
      <w:r w:rsidRPr="007B2920">
        <w:rPr>
          <w:rFonts w:ascii="TimesNewRomanPSMT2" w:hAnsi="TimesNewRomanPSMT2" w:cs="TimesNewRomanPSMT2"/>
          <w:lang w:eastAsia="zh-CN"/>
        </w:rPr>
        <w:t xml:space="preserve">, November 13, </w:t>
      </w:r>
      <w:proofErr w:type="gramStart"/>
      <w:r w:rsidRPr="007B2920">
        <w:rPr>
          <w:rFonts w:ascii="TimesNewRomanPSMT2" w:hAnsi="TimesNewRomanPSMT2" w:cs="TimesNewRomanPSMT2"/>
          <w:lang w:eastAsia="zh-CN"/>
        </w:rPr>
        <w:t>2017</w:t>
      </w:r>
      <w:proofErr w:type="gramEnd"/>
      <w:r w:rsidRPr="007B2920">
        <w:rPr>
          <w:rFonts w:ascii="TimesNewRomanPSMT2" w:hAnsi="TimesNewRomanPSMT2" w:cs="TimesNewRomanPSMT2"/>
          <w:lang w:eastAsia="zh-CN"/>
        </w:rPr>
        <w:t xml:space="preserve"> through January</w:t>
      </w:r>
      <w:r>
        <w:rPr>
          <w:rFonts w:ascii="TimesNewRomanPSMT2" w:hAnsi="TimesNewRomanPSMT2" w:cs="TimesNewRomanPSMT2"/>
          <w:lang w:eastAsia="zh-CN"/>
        </w:rPr>
        <w:t> </w:t>
      </w:r>
      <w:r w:rsidRPr="007B2920">
        <w:rPr>
          <w:rFonts w:ascii="TimesNewRomanPSMT2" w:hAnsi="TimesNewRomanPSMT2" w:cs="TimesNewRomanPSMT2"/>
          <w:lang w:eastAsia="zh-CN"/>
        </w:rPr>
        <w:t>23,</w:t>
      </w:r>
      <w:r>
        <w:rPr>
          <w:rFonts w:ascii="TimesNewRomanPSMT2" w:hAnsi="TimesNewRomanPSMT2" w:cs="TimesNewRomanPSMT2"/>
          <w:lang w:eastAsia="zh-CN"/>
        </w:rPr>
        <w:t> </w:t>
      </w:r>
      <w:r w:rsidRPr="007B2920">
        <w:rPr>
          <w:rFonts w:ascii="TimesNewRomanPSMT2" w:hAnsi="TimesNewRomanPSMT2" w:cs="TimesNewRomanPSMT2"/>
          <w:lang w:eastAsia="zh-CN"/>
        </w:rPr>
        <w:t xml:space="preserve">2018, inclusive, has been reduced by 90% in </w:t>
      </w:r>
      <w:r w:rsidRPr="007B2920">
        <w:rPr>
          <w:rFonts w:ascii="TimesNewRomanPSMT2" w:hAnsi="TimesNewRomanPSMT2" w:cs="TimesNewRomanPSMT2"/>
          <w:b/>
          <w:bCs/>
          <w:lang w:eastAsia="zh-CN"/>
        </w:rPr>
        <w:t>Table 1</w:t>
      </w:r>
      <w:r w:rsidRPr="007B2920">
        <w:rPr>
          <w:rFonts w:ascii="TimesNewRomanPSMT2" w:hAnsi="TimesNewRomanPSMT2" w:cs="TimesNewRomanPSMT2"/>
          <w:lang w:eastAsia="zh-CN"/>
        </w:rPr>
        <w:t xml:space="preserve"> below to account for the unlikelihood of prevailing on appeal for the </w:t>
      </w:r>
      <w:r w:rsidRPr="007B2920">
        <w:t>dismissed</w:t>
      </w:r>
      <w:r w:rsidRPr="007B2920">
        <w:rPr>
          <w:rFonts w:ascii="TimesNewRomanPSMT2" w:hAnsi="TimesNewRomanPSMT2" w:cs="TimesNewRomanPSMT2"/>
          <w:lang w:eastAsia="zh-CN"/>
        </w:rPr>
        <w:t xml:space="preserve"> period. </w:t>
      </w:r>
    </w:p>
    <w:p w14:paraId="437D3657" w14:textId="77777777" w:rsidR="0070405B" w:rsidRPr="007B2920" w:rsidRDefault="00670596" w:rsidP="00EA671E">
      <w:pPr>
        <w:pStyle w:val="ListParagraph"/>
        <w:numPr>
          <w:ilvl w:val="0"/>
          <w:numId w:val="29"/>
        </w:numPr>
        <w:spacing w:after="240"/>
        <w:ind w:left="0" w:firstLine="720"/>
        <w:jc w:val="both"/>
        <w:rPr>
          <w:u w:val="single"/>
        </w:rPr>
      </w:pPr>
      <w:r w:rsidRPr="007B2920">
        <w:t>A Claimant’s Recognized Loss Amount per share of GE common stock purchased or acquired during the Class Period (</w:t>
      </w:r>
      <w:r w:rsidRPr="007B2920">
        <w:rPr>
          <w:i/>
          <w:iCs/>
        </w:rPr>
        <w:t>i.e.</w:t>
      </w:r>
      <w:r w:rsidRPr="007B2920">
        <w:t xml:space="preserve">, between February 29, </w:t>
      </w:r>
      <w:proofErr w:type="gramStart"/>
      <w:r w:rsidRPr="007B2920">
        <w:t>2016</w:t>
      </w:r>
      <w:proofErr w:type="gramEnd"/>
      <w:r w:rsidRPr="007B2920">
        <w:t xml:space="preserve"> and January 23, 2018, inclusive) will be calculated as follows:</w:t>
      </w:r>
    </w:p>
    <w:p w14:paraId="359A917B" w14:textId="77777777" w:rsidR="0070405B" w:rsidRPr="007B2920" w:rsidRDefault="00670596" w:rsidP="007B2920">
      <w:pPr>
        <w:pStyle w:val="ListParagraph"/>
        <w:numPr>
          <w:ilvl w:val="0"/>
          <w:numId w:val="30"/>
        </w:numPr>
        <w:adjustRightInd w:val="0"/>
        <w:spacing w:after="240"/>
        <w:ind w:left="1800" w:hanging="720"/>
        <w:jc w:val="both"/>
        <w:rPr>
          <w:b/>
        </w:rPr>
      </w:pPr>
      <w:r w:rsidRPr="007B2920">
        <w:lastRenderedPageBreak/>
        <w:t>For each share of GE common stock purchased or acquired during the Class Period and sold prior to Friday, April 21, 2017 (</w:t>
      </w:r>
      <w:r w:rsidRPr="007B2920">
        <w:rPr>
          <w:i/>
        </w:rPr>
        <w:t>i.e.</w:t>
      </w:r>
      <w:r w:rsidRPr="007B2920">
        <w:rPr>
          <w:iCs/>
        </w:rPr>
        <w:t xml:space="preserve">, </w:t>
      </w:r>
      <w:r w:rsidRPr="007B2920">
        <w:rPr>
          <w:lang w:eastAsia="zh-CN"/>
        </w:rPr>
        <w:t>the earliest Corrective Disclosure Impact Date)</w:t>
      </w:r>
      <w:r w:rsidRPr="007B2920">
        <w:t xml:space="preserve">, the Recognized Loss Amount is $0. </w:t>
      </w:r>
    </w:p>
    <w:p w14:paraId="05CBE86A" w14:textId="77777777" w:rsidR="0070405B" w:rsidRPr="007B2920" w:rsidRDefault="00670596" w:rsidP="007B2920">
      <w:pPr>
        <w:pStyle w:val="ListParagraph"/>
        <w:numPr>
          <w:ilvl w:val="0"/>
          <w:numId w:val="30"/>
        </w:numPr>
        <w:adjustRightInd w:val="0"/>
        <w:spacing w:after="240"/>
        <w:ind w:left="1800" w:hanging="720"/>
        <w:jc w:val="both"/>
        <w:rPr>
          <w:b/>
        </w:rPr>
      </w:pPr>
      <w:r w:rsidRPr="007B2920">
        <w:t xml:space="preserve">For </w:t>
      </w:r>
      <w:r w:rsidRPr="007B2920">
        <w:rPr>
          <w:rFonts w:ascii="TimesNewRomanPSMT" w:hAnsi="TimesNewRomanPSMT" w:cs="TimesNewRomanPSMT"/>
        </w:rPr>
        <w:t>each</w:t>
      </w:r>
      <w:r w:rsidRPr="007B2920">
        <w:t xml:space="preserve"> share of GE common stock purchased or acquired during the Class Period and subsequently sold from Friday, April 21, </w:t>
      </w:r>
      <w:proofErr w:type="gramStart"/>
      <w:r w:rsidRPr="007B2920">
        <w:t>2017</w:t>
      </w:r>
      <w:proofErr w:type="gramEnd"/>
      <w:r w:rsidRPr="007B2920">
        <w:t xml:space="preserve"> through Tuesday, January 23, 2018, inclusive, the Recognized Loss Amount shall be </w:t>
      </w:r>
      <w:r w:rsidRPr="007B2920">
        <w:rPr>
          <w:b/>
          <w:i/>
        </w:rPr>
        <w:t>the lesser of</w:t>
      </w:r>
      <w:r w:rsidRPr="007B2920">
        <w:t>:</w:t>
      </w:r>
    </w:p>
    <w:p w14:paraId="7A9FDDFB" w14:textId="77777777" w:rsidR="0070405B" w:rsidRPr="007B2920" w:rsidRDefault="00670596" w:rsidP="007B2920">
      <w:pPr>
        <w:pStyle w:val="ListParagraph"/>
        <w:numPr>
          <w:ilvl w:val="0"/>
          <w:numId w:val="31"/>
        </w:numPr>
        <w:spacing w:after="240"/>
        <w:ind w:left="2592" w:hanging="432"/>
        <w:jc w:val="both"/>
        <w:rPr>
          <w:b/>
        </w:rPr>
      </w:pPr>
      <w:r w:rsidRPr="007B2920">
        <w:t xml:space="preserve">the amount of artificial inflation applicable to each such share on the date of purchase/acquisition as set forth in </w:t>
      </w:r>
      <w:r w:rsidRPr="007B2920">
        <w:rPr>
          <w:b/>
        </w:rPr>
        <w:t xml:space="preserve">Table 1 </w:t>
      </w:r>
      <w:r w:rsidRPr="007B2920">
        <w:t xml:space="preserve">below </w:t>
      </w:r>
      <w:r w:rsidRPr="007B2920">
        <w:rPr>
          <w:b/>
          <w:i/>
        </w:rPr>
        <w:t xml:space="preserve">minus </w:t>
      </w:r>
      <w:r w:rsidRPr="007B2920">
        <w:t xml:space="preserve">the amount of artificial inflation applicable to each such share on the date of sale as set forth in </w:t>
      </w:r>
      <w:r w:rsidRPr="007B2920">
        <w:rPr>
          <w:b/>
        </w:rPr>
        <w:t xml:space="preserve">Table 1 </w:t>
      </w:r>
      <w:r w:rsidRPr="007B2920">
        <w:t>below; or</w:t>
      </w:r>
    </w:p>
    <w:p w14:paraId="6213DE38" w14:textId="77777777" w:rsidR="0070405B" w:rsidRPr="007B2920" w:rsidRDefault="00670596" w:rsidP="007B2920">
      <w:pPr>
        <w:pStyle w:val="ListParagraph"/>
        <w:numPr>
          <w:ilvl w:val="0"/>
          <w:numId w:val="31"/>
        </w:numPr>
        <w:spacing w:after="240"/>
        <w:ind w:left="2592" w:hanging="432"/>
        <w:jc w:val="both"/>
        <w:rPr>
          <w:b/>
        </w:rPr>
      </w:pPr>
      <w:r w:rsidRPr="007B2920">
        <w:t xml:space="preserve">the </w:t>
      </w:r>
      <w:proofErr w:type="gramStart"/>
      <w:r w:rsidRPr="007B2920">
        <w:t>Out of Pocket</w:t>
      </w:r>
      <w:proofErr w:type="gramEnd"/>
      <w:r w:rsidRPr="007B2920">
        <w:t xml:space="preserve"> Loss.</w:t>
      </w:r>
    </w:p>
    <w:p w14:paraId="2F40E3E2" w14:textId="77777777" w:rsidR="0070405B" w:rsidRPr="007B2920" w:rsidRDefault="00670596" w:rsidP="007B2920">
      <w:pPr>
        <w:pStyle w:val="ListParagraph"/>
        <w:numPr>
          <w:ilvl w:val="0"/>
          <w:numId w:val="30"/>
        </w:numPr>
        <w:adjustRightInd w:val="0"/>
        <w:spacing w:after="240"/>
        <w:ind w:left="1800" w:hanging="720"/>
        <w:jc w:val="both"/>
        <w:rPr>
          <w:rFonts w:eastAsiaTheme="minorHAnsi"/>
          <w:b/>
        </w:rPr>
      </w:pPr>
      <w:r w:rsidRPr="007B2920">
        <w:t xml:space="preserve">For each share of GE common stock purchased or acquired during the Class Period and subsequently sold from Wednesday January 24, </w:t>
      </w:r>
      <w:proofErr w:type="gramStart"/>
      <w:r w:rsidRPr="007B2920">
        <w:t>2018</w:t>
      </w:r>
      <w:proofErr w:type="gramEnd"/>
      <w:r w:rsidRPr="007B2920">
        <w:t xml:space="preserve"> through Monday, April 23, 2018, inclusive, (</w:t>
      </w:r>
      <w:r w:rsidRPr="007B2920">
        <w:rPr>
          <w:i/>
          <w:iCs/>
        </w:rPr>
        <w:t>i.e.</w:t>
      </w:r>
      <w:r w:rsidRPr="007B2920">
        <w:t xml:space="preserve">, sold during the 90-Day Look-Back Period), the Recognized Loss Amount shall be </w:t>
      </w:r>
      <w:r w:rsidRPr="007B2920">
        <w:rPr>
          <w:b/>
          <w:i/>
          <w:iCs/>
        </w:rPr>
        <w:t>the least of</w:t>
      </w:r>
      <w:r w:rsidRPr="007B2920">
        <w:t xml:space="preserve">: </w:t>
      </w:r>
    </w:p>
    <w:p w14:paraId="67733143" w14:textId="77777777" w:rsidR="0070405B" w:rsidRPr="007B2920" w:rsidRDefault="00670596" w:rsidP="007B2920">
      <w:pPr>
        <w:pStyle w:val="ListParagraph"/>
        <w:numPr>
          <w:ilvl w:val="0"/>
          <w:numId w:val="33"/>
        </w:numPr>
        <w:spacing w:after="240"/>
        <w:ind w:left="2592" w:hanging="432"/>
        <w:jc w:val="both"/>
        <w:rPr>
          <w:rFonts w:eastAsiaTheme="minorHAnsi"/>
          <w:b/>
        </w:rPr>
      </w:pPr>
      <w:r w:rsidRPr="007B2920">
        <w:t xml:space="preserve">the amount of artificial inflation applicable to each such share on the date of purchase/acquisition as set forth in </w:t>
      </w:r>
      <w:r w:rsidRPr="007B2920">
        <w:rPr>
          <w:b/>
        </w:rPr>
        <w:t>Table 1</w:t>
      </w:r>
      <w:r w:rsidRPr="007B2920">
        <w:t xml:space="preserve"> </w:t>
      </w:r>
      <w:proofErr w:type="gramStart"/>
      <w:r w:rsidRPr="007B2920">
        <w:t>below;</w:t>
      </w:r>
      <w:proofErr w:type="gramEnd"/>
      <w:r w:rsidRPr="007B2920">
        <w:t xml:space="preserve"> </w:t>
      </w:r>
    </w:p>
    <w:p w14:paraId="4935C137" w14:textId="77777777" w:rsidR="0070405B" w:rsidRPr="007B2920" w:rsidRDefault="00670596" w:rsidP="007B2920">
      <w:pPr>
        <w:pStyle w:val="ListParagraph"/>
        <w:numPr>
          <w:ilvl w:val="0"/>
          <w:numId w:val="33"/>
        </w:numPr>
        <w:spacing w:after="240"/>
        <w:ind w:left="2592" w:hanging="432"/>
        <w:jc w:val="both"/>
        <w:rPr>
          <w:rFonts w:eastAsiaTheme="minorHAnsi"/>
          <w:b/>
        </w:rPr>
      </w:pPr>
      <w:r w:rsidRPr="007B2920">
        <w:t xml:space="preserve">the actual purchase/acquisition price per share </w:t>
      </w:r>
      <w:r w:rsidRPr="007B2920">
        <w:rPr>
          <w:b/>
          <w:i/>
          <w:iCs/>
        </w:rPr>
        <w:t>minus</w:t>
      </w:r>
      <w:r w:rsidRPr="007B2920">
        <w:t xml:space="preserve"> the </w:t>
      </w:r>
      <w:r w:rsidRPr="007B2920">
        <w:rPr>
          <w:rFonts w:eastAsiaTheme="minorHAnsi"/>
        </w:rPr>
        <w:t xml:space="preserve">90-Day Look-Back Value on the </w:t>
      </w:r>
      <w:r w:rsidRPr="007B2920">
        <w:t>date</w:t>
      </w:r>
      <w:r w:rsidRPr="007B2920">
        <w:rPr>
          <w:rFonts w:eastAsiaTheme="minorHAnsi"/>
        </w:rPr>
        <w:t xml:space="preserve"> of sale </w:t>
      </w:r>
      <w:r w:rsidRPr="007B2920">
        <w:t xml:space="preserve">as set forth in </w:t>
      </w:r>
      <w:r w:rsidRPr="007B2920">
        <w:rPr>
          <w:b/>
          <w:bCs/>
        </w:rPr>
        <w:t>Table 2</w:t>
      </w:r>
      <w:r w:rsidRPr="007B2920">
        <w:rPr>
          <w:bCs/>
        </w:rPr>
        <w:t xml:space="preserve"> below</w:t>
      </w:r>
      <w:r w:rsidRPr="007B2920">
        <w:rPr>
          <w:rFonts w:eastAsiaTheme="minorHAnsi"/>
        </w:rPr>
        <w:t>; or</w:t>
      </w:r>
    </w:p>
    <w:p w14:paraId="2E4227B5" w14:textId="77777777" w:rsidR="0070405B" w:rsidRPr="007B2920" w:rsidRDefault="00670596" w:rsidP="007B2920">
      <w:pPr>
        <w:pStyle w:val="ListParagraph"/>
        <w:numPr>
          <w:ilvl w:val="0"/>
          <w:numId w:val="33"/>
        </w:numPr>
        <w:spacing w:after="240"/>
        <w:ind w:left="2592" w:hanging="432"/>
        <w:jc w:val="both"/>
        <w:rPr>
          <w:rFonts w:eastAsiaTheme="minorHAnsi"/>
          <w:b/>
        </w:rPr>
      </w:pPr>
      <w:r w:rsidRPr="007B2920">
        <w:rPr>
          <w:rFonts w:eastAsiaTheme="minorHAnsi"/>
        </w:rPr>
        <w:t xml:space="preserve">the </w:t>
      </w:r>
      <w:proofErr w:type="gramStart"/>
      <w:r w:rsidRPr="007B2920">
        <w:rPr>
          <w:rFonts w:eastAsiaTheme="minorHAnsi"/>
        </w:rPr>
        <w:t>Out of Pocket</w:t>
      </w:r>
      <w:proofErr w:type="gramEnd"/>
      <w:r w:rsidRPr="007B2920">
        <w:rPr>
          <w:rFonts w:eastAsiaTheme="minorHAnsi"/>
        </w:rPr>
        <w:t xml:space="preserve"> Loss.</w:t>
      </w:r>
    </w:p>
    <w:p w14:paraId="3AFA2498" w14:textId="77777777" w:rsidR="0070405B" w:rsidRPr="007B2920" w:rsidRDefault="00670596" w:rsidP="007B2920">
      <w:pPr>
        <w:pStyle w:val="ListParagraph"/>
        <w:numPr>
          <w:ilvl w:val="0"/>
          <w:numId w:val="30"/>
        </w:numPr>
        <w:adjustRightInd w:val="0"/>
        <w:spacing w:after="240"/>
        <w:ind w:left="1800" w:hanging="720"/>
        <w:jc w:val="both"/>
        <w:rPr>
          <w:rFonts w:eastAsiaTheme="minorHAnsi"/>
          <w:b/>
        </w:rPr>
      </w:pPr>
      <w:r w:rsidRPr="007B2920">
        <w:t xml:space="preserve">For each share of GE common stock purchased or acquired during the Class Period and held as of the close of trading on Monday, April 23, 2018, the Recognized Loss Amount shall be </w:t>
      </w:r>
      <w:r w:rsidRPr="007B2920">
        <w:rPr>
          <w:b/>
          <w:i/>
          <w:iCs/>
        </w:rPr>
        <w:t>the lesser of</w:t>
      </w:r>
      <w:r w:rsidRPr="007B2920">
        <w:t xml:space="preserve">: </w:t>
      </w:r>
    </w:p>
    <w:p w14:paraId="295AACE4" w14:textId="77777777" w:rsidR="0070405B" w:rsidRPr="007B2920" w:rsidRDefault="00670596" w:rsidP="007B2920">
      <w:pPr>
        <w:pStyle w:val="ListParagraph"/>
        <w:numPr>
          <w:ilvl w:val="0"/>
          <w:numId w:val="32"/>
        </w:numPr>
        <w:spacing w:after="240"/>
        <w:ind w:left="2592" w:hanging="432"/>
        <w:jc w:val="both"/>
        <w:rPr>
          <w:rFonts w:eastAsiaTheme="minorHAnsi"/>
          <w:b/>
        </w:rPr>
      </w:pPr>
      <w:r w:rsidRPr="007B2920">
        <w:t xml:space="preserve">the amount of artificial inflation applicable to each such share on the date of purchase/acquisition as stated in </w:t>
      </w:r>
      <w:r w:rsidRPr="007B2920">
        <w:rPr>
          <w:b/>
        </w:rPr>
        <w:t xml:space="preserve">Table 1 </w:t>
      </w:r>
      <w:r w:rsidRPr="007B2920">
        <w:t>below; or</w:t>
      </w:r>
    </w:p>
    <w:p w14:paraId="16A78038" w14:textId="77777777" w:rsidR="0070405B" w:rsidRPr="007B2920" w:rsidRDefault="00670596" w:rsidP="007B2920">
      <w:pPr>
        <w:pStyle w:val="ListParagraph"/>
        <w:numPr>
          <w:ilvl w:val="0"/>
          <w:numId w:val="32"/>
        </w:numPr>
        <w:spacing w:after="240"/>
        <w:ind w:left="2592" w:hanging="432"/>
        <w:jc w:val="both"/>
        <w:rPr>
          <w:rFonts w:eastAsiaTheme="minorHAnsi"/>
          <w:b/>
        </w:rPr>
      </w:pPr>
      <w:r w:rsidRPr="007B2920">
        <w:t xml:space="preserve">the actual purchase/acquisition price </w:t>
      </w:r>
      <w:r w:rsidRPr="007B2920">
        <w:rPr>
          <w:b/>
          <w:i/>
          <w:iCs/>
        </w:rPr>
        <w:t>minus</w:t>
      </w:r>
      <w:r w:rsidRPr="007B2920">
        <w:rPr>
          <w:b/>
        </w:rPr>
        <w:t xml:space="preserve"> $14.36 </w:t>
      </w:r>
      <w:r w:rsidRPr="007B2920">
        <w:t>(</w:t>
      </w:r>
      <w:r w:rsidRPr="007B2920">
        <w:rPr>
          <w:i/>
        </w:rPr>
        <w:t>i.e.</w:t>
      </w:r>
      <w:r w:rsidRPr="007B2920">
        <w:t xml:space="preserve">, the average closing price of GE common stock during the 90-Day Look-Back Period, as shown on the last line of </w:t>
      </w:r>
      <w:r w:rsidRPr="007B2920">
        <w:rPr>
          <w:b/>
        </w:rPr>
        <w:t>Table 2</w:t>
      </w:r>
      <w:r w:rsidRPr="007B2920">
        <w:t xml:space="preserve"> below)</w:t>
      </w:r>
      <w:r w:rsidRPr="007B2920">
        <w:rPr>
          <w:rFonts w:eastAsiaTheme="minorHAnsi"/>
        </w:rPr>
        <w:t>.</w:t>
      </w:r>
    </w:p>
    <w:p w14:paraId="32EEB292" w14:textId="7B655519" w:rsidR="00DA52DC" w:rsidRDefault="00DA52DC">
      <w:pPr>
        <w:rPr>
          <w:b/>
          <w:bCs/>
          <w:u w:val="single"/>
        </w:rPr>
      </w:pPr>
      <w:r>
        <w:rPr>
          <w:b/>
          <w:bCs/>
          <w:u w:val="single"/>
        </w:rPr>
        <w:br w:type="page"/>
      </w:r>
    </w:p>
    <w:p w14:paraId="0A4556CC" w14:textId="77777777" w:rsidR="0070405B" w:rsidRPr="007B2920" w:rsidRDefault="00670596" w:rsidP="007B2920">
      <w:pPr>
        <w:jc w:val="center"/>
        <w:rPr>
          <w:u w:val="single"/>
        </w:rPr>
      </w:pPr>
      <w:r w:rsidRPr="007B2920">
        <w:rPr>
          <w:b/>
          <w:bCs/>
          <w:u w:val="single"/>
        </w:rPr>
        <w:lastRenderedPageBreak/>
        <w:t>ADDITIONAL PROVISIONS</w:t>
      </w:r>
    </w:p>
    <w:p w14:paraId="211F75BA" w14:textId="77777777" w:rsidR="0070405B" w:rsidRPr="007B2920" w:rsidRDefault="00670596" w:rsidP="00EF0532">
      <w:pPr>
        <w:pStyle w:val="ListParagraph"/>
        <w:numPr>
          <w:ilvl w:val="0"/>
          <w:numId w:val="29"/>
        </w:numPr>
        <w:spacing w:before="180" w:after="180"/>
        <w:ind w:left="0" w:firstLine="720"/>
        <w:jc w:val="both"/>
      </w:pPr>
      <w:r w:rsidRPr="007B2920">
        <w:t>The Net Settlement Fund will be allocated among all Authorized Claimants whose Distribution Amount (as defined in ¶ 12 below) is $10.00 or greater.</w:t>
      </w:r>
    </w:p>
    <w:p w14:paraId="4EF41B17" w14:textId="77777777" w:rsidR="0070405B" w:rsidRPr="007B2920" w:rsidRDefault="00670596" w:rsidP="00EF0532">
      <w:pPr>
        <w:pStyle w:val="ListParagraph"/>
        <w:numPr>
          <w:ilvl w:val="0"/>
          <w:numId w:val="29"/>
        </w:numPr>
        <w:spacing w:before="180" w:after="180"/>
        <w:ind w:left="0" w:firstLine="720"/>
        <w:jc w:val="both"/>
      </w:pPr>
      <w:r w:rsidRPr="007B2920">
        <w:t xml:space="preserve"> </w:t>
      </w:r>
      <w:r w:rsidRPr="007B2920">
        <w:rPr>
          <w:b/>
        </w:rPr>
        <w:t>FIFO Matching:</w:t>
      </w:r>
      <w:r w:rsidRPr="007B2920">
        <w:t xml:space="preserve"> If a Class Member has more than one purchase/acquisition or sale of GE common stock during the Class Period, all purchases/acquisitions and sales shall be matched on a FIFO basis. Class Period sales will be matched first against any holdings of GE common stock at the beginning of the Class Period, and then against purchases/acquisitions of GE common stock in chronological order, beginning with the earliest purchase/acquisition made during the Class Period. </w:t>
      </w:r>
    </w:p>
    <w:p w14:paraId="05C015E1" w14:textId="77777777" w:rsidR="0070405B" w:rsidRPr="007B2920" w:rsidRDefault="00670596" w:rsidP="00EF0532">
      <w:pPr>
        <w:pStyle w:val="ListParagraph"/>
        <w:numPr>
          <w:ilvl w:val="0"/>
          <w:numId w:val="29"/>
        </w:numPr>
        <w:spacing w:before="180" w:after="180"/>
        <w:ind w:left="0" w:firstLine="720"/>
        <w:jc w:val="both"/>
      </w:pPr>
      <w:r w:rsidRPr="007B2920">
        <w:rPr>
          <w:b/>
        </w:rPr>
        <w:t>Purchase/Acquisition and Sale Dates:</w:t>
      </w:r>
      <w:r w:rsidRPr="007B2920">
        <w:t xml:space="preserve"> Purchases/acquisitions and sales of GE common stock shall be deemed to have occurred on the “contract” or “trade” date as opposed to the “settlement” or “payment” date. The receipt or grant by gift, inheritance or operation of law of GE common stock during the Class Period, shall not be deemed a purchase, acquisition, or sale of these shares of GE common stock for the calculation of an Authorized Claimant’s Recognized Claim, nor shall the receipt or grant be deemed an assignment of any claim relating to the purchase/acquisition of such shares of GE common stock unless: (</w:t>
      </w:r>
      <w:proofErr w:type="spellStart"/>
      <w:r w:rsidRPr="007B2920">
        <w:t>i</w:t>
      </w:r>
      <w:proofErr w:type="spellEnd"/>
      <w:r w:rsidRPr="007B2920">
        <w:t>) the donor or decedent purchased or otherwise acquired such shares of GE common stock during the Class Period; (ii) no Claim Form was submitted by or on behalf of the donor, on behalf of the decedent, or by anyone else with respect to such shares of GE common stock; and (iii) it is specifically so provided in the instrument of gift or assignment.</w:t>
      </w:r>
    </w:p>
    <w:p w14:paraId="35140805" w14:textId="77777777" w:rsidR="0070405B" w:rsidRPr="00EF0532" w:rsidRDefault="00670596" w:rsidP="00EF0532">
      <w:pPr>
        <w:pStyle w:val="ListParagraph"/>
        <w:numPr>
          <w:ilvl w:val="0"/>
          <w:numId w:val="29"/>
        </w:numPr>
        <w:spacing w:before="180" w:after="180"/>
        <w:ind w:left="0" w:firstLine="720"/>
        <w:jc w:val="both"/>
        <w:rPr>
          <w:spacing w:val="-2"/>
        </w:rPr>
      </w:pPr>
      <w:r w:rsidRPr="00EF0532">
        <w:rPr>
          <w:b/>
          <w:spacing w:val="-2"/>
        </w:rPr>
        <w:t xml:space="preserve">Short Sales: </w:t>
      </w:r>
      <w:r w:rsidRPr="00EF0532">
        <w:rPr>
          <w:spacing w:val="-2"/>
        </w:rPr>
        <w:t xml:space="preserve">The date of covering a “short sale” is deemed to be the date of purchase or acquisition of the GE common stock. The date of a “short sale” is deemed to be the date of sale of the GE common stock. In accordance with the Plan of Allocation, however, the Recognized Loss Amount on “short sales” is $0.00. </w:t>
      </w:r>
      <w:proofErr w:type="gramStart"/>
      <w:r w:rsidRPr="00EF0532">
        <w:rPr>
          <w:spacing w:val="-2"/>
        </w:rPr>
        <w:t>In the event that</w:t>
      </w:r>
      <w:proofErr w:type="gramEnd"/>
      <w:r w:rsidRPr="00EF0532">
        <w:rPr>
          <w:spacing w:val="-2"/>
        </w:rPr>
        <w:t xml:space="preserve"> a Claimant has a short position in GE common stock, the earliest purchases or acquisitions during the Class Period shall be matched against such short position and not be entitled to a recovery until that short position is fully covered.</w:t>
      </w:r>
    </w:p>
    <w:p w14:paraId="5C8472E5" w14:textId="77777777" w:rsidR="0070405B" w:rsidRPr="007B2920" w:rsidRDefault="00670596" w:rsidP="00EF0532">
      <w:pPr>
        <w:pStyle w:val="ListParagraph"/>
        <w:numPr>
          <w:ilvl w:val="0"/>
          <w:numId w:val="29"/>
        </w:numPr>
        <w:spacing w:before="180" w:after="180"/>
        <w:ind w:left="0" w:firstLine="720"/>
        <w:jc w:val="both"/>
      </w:pPr>
      <w:r w:rsidRPr="007B2920">
        <w:rPr>
          <w:b/>
        </w:rPr>
        <w:t>Common Stock Purchased/Sold Through the Exercise of Options:</w:t>
      </w:r>
      <w:r w:rsidRPr="007B2920">
        <w:t xml:space="preserve"> GE common stock is the only security eligible for recovery under the Plan of Allocation. Option contracts to purchase or sell GE common stock are not securities eligible to participate in the Settlement. With respect to GE common stock purchased or sold through the exercise of an option, the purchase/sale date of the GE common stock shall be the exercise date of the </w:t>
      </w:r>
      <w:proofErr w:type="gramStart"/>
      <w:r w:rsidRPr="007B2920">
        <w:t>option</w:t>
      </w:r>
      <w:proofErr w:type="gramEnd"/>
      <w:r w:rsidRPr="007B2920">
        <w:t xml:space="preserve"> and the purchase/sale price shall be the closing price of GE common stock on the date of the exercise of the option. Any Recognized Loss Amount arising from purchases of GE common stock acquired during the Class Period through the exercise of an option on GE common stock</w:t>
      </w:r>
      <w:r w:rsidRPr="007B2920">
        <w:rPr>
          <w:vertAlign w:val="superscript"/>
        </w:rPr>
        <w:footnoteReference w:id="11"/>
      </w:r>
      <w:r w:rsidRPr="007B2920">
        <w:t xml:space="preserve"> shall be computed as provided for other purchases of GE common stock in the Plan of Allocation.</w:t>
      </w:r>
    </w:p>
    <w:p w14:paraId="6038952E" w14:textId="77777777" w:rsidR="0070405B" w:rsidRPr="007B2920" w:rsidRDefault="00670596" w:rsidP="00EF0532">
      <w:pPr>
        <w:pStyle w:val="ListParagraph"/>
        <w:numPr>
          <w:ilvl w:val="0"/>
          <w:numId w:val="29"/>
        </w:numPr>
        <w:spacing w:before="180" w:after="180"/>
        <w:ind w:left="0" w:firstLine="720"/>
        <w:jc w:val="both"/>
      </w:pPr>
      <w:r w:rsidRPr="007B2920">
        <w:rPr>
          <w:b/>
        </w:rPr>
        <w:t>Determination of Distribution Amount:</w:t>
      </w:r>
      <w:r w:rsidRPr="007B2920">
        <w:t xml:space="preserve"> The Net Settlement Fund will be distributed to Authorized Claimants on a </w:t>
      </w:r>
      <w:r w:rsidRPr="007B2920">
        <w:rPr>
          <w:i/>
        </w:rPr>
        <w:t xml:space="preserve">pro rata </w:t>
      </w:r>
      <w:r w:rsidRPr="007B2920">
        <w:t xml:space="preserve">basis based on the relative size of their losses. Specifically, a “Distribution Amount” will be calculated for each Authorized Claimant, which will </w:t>
      </w:r>
      <w:proofErr w:type="gramStart"/>
      <w:r w:rsidRPr="007B2920">
        <w:t>be:</w:t>
      </w:r>
      <w:proofErr w:type="gramEnd"/>
      <w:r w:rsidRPr="007B2920">
        <w:t xml:space="preserve"> the Authorized Claimant’s Recognized Claim (calculated pursuant to this Plan of Allocation) divided by the total Recognized Claims (calculated pursuant to this Plan of Allocation) of all </w:t>
      </w:r>
      <w:r w:rsidRPr="007B2920">
        <w:lastRenderedPageBreak/>
        <w:t xml:space="preserve">Authorized Claimants, multiplied by the total amount in the Net Settlement Fund. If any Authorized Claimant’s Distribution Amount calculates to less than $10.00, it will not be included in the calculation and no distribution will be made to that Authorized Claimant. </w:t>
      </w:r>
    </w:p>
    <w:p w14:paraId="75BFE551" w14:textId="77777777" w:rsidR="0070405B" w:rsidRPr="007B2920" w:rsidRDefault="00670596" w:rsidP="00EF0532">
      <w:pPr>
        <w:pStyle w:val="ListParagraph"/>
        <w:numPr>
          <w:ilvl w:val="0"/>
          <w:numId w:val="29"/>
        </w:numPr>
        <w:spacing w:before="180" w:after="180"/>
        <w:ind w:left="0" w:firstLine="720"/>
        <w:jc w:val="both"/>
      </w:pPr>
      <w:r w:rsidRPr="007B2920">
        <w:rPr>
          <w:b/>
        </w:rPr>
        <w:t>Re-Distributions:</w:t>
      </w:r>
      <w:r w:rsidRPr="007B2920">
        <w:t xml:space="preserve"> After the initial distribution of the Net Settlement Fund, the Claims Administrator will make reasonable and diligent efforts to have Authorized Claimants cash their distribution checks. To the extent any monies remain in the Net Settlement Fund by reason of uncashed checks, or otherwise, no less than nine (9) months after the initial distribution, if Class Counsel, in consultation with the Claims Administrator, determines that it is cost-effective to do so, the Claims Administrator will conduct a re-distribution of the funds remaining after payment of any unpaid fees and expenses incurred in administering the Settlement, including for such re-distribution, to Authorized Claimants who have cashed their initial distributions and who would receive at least $10.00 from such re-distribution. Additional re-distributions may occur thereafter if Class Counsel, in consultation with the Claims Administrator, determines that additional re-distributions, after deduction of any additional fees and expenses incurred in administering the Settlement, including for such re-distributions, would be cost-effective. </w:t>
      </w:r>
      <w:proofErr w:type="gramStart"/>
      <w:r w:rsidRPr="007B2920">
        <w:t>At such time as</w:t>
      </w:r>
      <w:proofErr w:type="gramEnd"/>
      <w:r w:rsidRPr="007B2920">
        <w:t xml:space="preserve"> it is determined that the re-distribution of funds remaining in the Net Settlement Fund is not cost-effective, the remaining balance shall be contributed to non-sectarian, not-for-profit organization(s), to be recommended by Class Counsel and approved by the Court.</w:t>
      </w:r>
    </w:p>
    <w:p w14:paraId="5DCD4BEF" w14:textId="77777777" w:rsidR="0070405B" w:rsidRPr="007B2920" w:rsidRDefault="00670596" w:rsidP="00EF0532">
      <w:pPr>
        <w:pStyle w:val="ListParagraph"/>
        <w:numPr>
          <w:ilvl w:val="0"/>
          <w:numId w:val="29"/>
        </w:numPr>
        <w:spacing w:before="180" w:after="180"/>
        <w:ind w:left="0" w:firstLine="720"/>
        <w:jc w:val="both"/>
      </w:pPr>
      <w:r w:rsidRPr="007B2920">
        <w:t>Payment pursuant to the Plan of Allocation, or such other plan of allocation as may be approved by the Court, shall be conclusive against all Authorized Claimants. No person shall have any claim against Class Representatives, Plaintiffs’ Counsel, Class Representatives’ damages expert, Defendants, Defendants’ Counsel, any of the other Releasees, or the Claims Administrator or other agent designated by Class Counsel arising from distributions made substantially in accordance with the Stipulation, the Plan of Allocation, or other plan of allocation approved by the Court, or further orders of the Court. Class Representatives, Defendants and their respective counsel, and all other Releasees, shall have no responsibility or liability whatsoever for the investment or distribution of the Settlement Fund or the Net Settlement Fund; the Plan of Allocation; the determination, administration, calculation, or payment of any Claim or nonperformance of the Claims Administrator; the payment or withholding of Taxes owed by the Settlement Fund; or any losses incurred in connection therewith.</w:t>
      </w:r>
    </w:p>
    <w:tbl>
      <w:tblPr>
        <w:tblStyle w:val="TableGrid"/>
        <w:tblW w:w="0" w:type="auto"/>
        <w:tblLook w:val="04A0" w:firstRow="1" w:lastRow="0" w:firstColumn="1" w:lastColumn="0" w:noHBand="0" w:noVBand="1"/>
      </w:tblPr>
      <w:tblGrid>
        <w:gridCol w:w="3145"/>
        <w:gridCol w:w="2970"/>
        <w:gridCol w:w="3235"/>
      </w:tblGrid>
      <w:tr w:rsidR="00C208DC" w:rsidRPr="007B2920" w14:paraId="510DE68A" w14:textId="77777777" w:rsidTr="00A348C1">
        <w:tc>
          <w:tcPr>
            <w:tcW w:w="9350" w:type="dxa"/>
            <w:gridSpan w:val="3"/>
            <w:tcBorders>
              <w:bottom w:val="single" w:sz="4" w:space="0" w:color="auto"/>
            </w:tcBorders>
          </w:tcPr>
          <w:p w14:paraId="64C0C0D6" w14:textId="77777777" w:rsidR="0070405B" w:rsidRPr="007B2920" w:rsidRDefault="00670596" w:rsidP="00EF0532">
            <w:pPr>
              <w:spacing w:before="60"/>
              <w:jc w:val="center"/>
              <w:rPr>
                <w:b/>
              </w:rPr>
            </w:pPr>
            <w:r w:rsidRPr="007B2920">
              <w:rPr>
                <w:b/>
              </w:rPr>
              <w:t>TABLE 1</w:t>
            </w:r>
          </w:p>
          <w:p w14:paraId="51B2BD1D" w14:textId="77777777" w:rsidR="0070405B" w:rsidRPr="007B2920" w:rsidRDefault="00670596" w:rsidP="00EF0532">
            <w:pPr>
              <w:spacing w:after="60"/>
              <w:jc w:val="center"/>
            </w:pPr>
            <w:r w:rsidRPr="007B2920">
              <w:rPr>
                <w:b/>
              </w:rPr>
              <w:t>Estimated Alleged Artificial Inflation in GE Common Stock</w:t>
            </w:r>
          </w:p>
        </w:tc>
      </w:tr>
      <w:tr w:rsidR="00C208DC" w:rsidRPr="007B2920" w14:paraId="57856221" w14:textId="77777777" w:rsidTr="00A348C1">
        <w:trPr>
          <w:trHeight w:val="360"/>
        </w:trPr>
        <w:tc>
          <w:tcPr>
            <w:tcW w:w="3145" w:type="dxa"/>
            <w:tcBorders>
              <w:top w:val="single" w:sz="4" w:space="0" w:color="auto"/>
              <w:bottom w:val="single" w:sz="4" w:space="0" w:color="auto"/>
              <w:right w:val="single" w:sz="4" w:space="0" w:color="auto"/>
            </w:tcBorders>
            <w:shd w:val="pct10" w:color="auto" w:fill="auto"/>
            <w:vAlign w:val="center"/>
          </w:tcPr>
          <w:p w14:paraId="1D521048" w14:textId="77777777" w:rsidR="0070405B" w:rsidRPr="007B2920" w:rsidRDefault="00670596" w:rsidP="007B2920">
            <w:pPr>
              <w:spacing w:after="60"/>
              <w:jc w:val="center"/>
              <w:rPr>
                <w:b/>
              </w:rPr>
            </w:pPr>
            <w:r w:rsidRPr="007B2920">
              <w:rPr>
                <w:b/>
              </w:rPr>
              <w:t>From</w:t>
            </w:r>
          </w:p>
        </w:tc>
        <w:tc>
          <w:tcPr>
            <w:tcW w:w="2970" w:type="dxa"/>
            <w:tcBorders>
              <w:top w:val="single" w:sz="4" w:space="0" w:color="auto"/>
              <w:left w:val="single" w:sz="4" w:space="0" w:color="auto"/>
              <w:bottom w:val="single" w:sz="4" w:space="0" w:color="auto"/>
              <w:right w:val="single" w:sz="4" w:space="0" w:color="auto"/>
            </w:tcBorders>
            <w:shd w:val="pct10" w:color="auto" w:fill="auto"/>
            <w:vAlign w:val="center"/>
          </w:tcPr>
          <w:p w14:paraId="70474CF4" w14:textId="77777777" w:rsidR="0070405B" w:rsidRPr="007B2920" w:rsidRDefault="00670596" w:rsidP="007B2920">
            <w:pPr>
              <w:spacing w:after="60"/>
              <w:jc w:val="center"/>
              <w:rPr>
                <w:b/>
              </w:rPr>
            </w:pPr>
            <w:r w:rsidRPr="007B2920">
              <w:rPr>
                <w:b/>
              </w:rPr>
              <w:t>To</w:t>
            </w:r>
          </w:p>
        </w:tc>
        <w:tc>
          <w:tcPr>
            <w:tcW w:w="3235" w:type="dxa"/>
            <w:tcBorders>
              <w:top w:val="single" w:sz="4" w:space="0" w:color="auto"/>
              <w:left w:val="single" w:sz="4" w:space="0" w:color="auto"/>
              <w:bottom w:val="single" w:sz="4" w:space="0" w:color="auto"/>
            </w:tcBorders>
            <w:shd w:val="pct10" w:color="auto" w:fill="auto"/>
            <w:vAlign w:val="center"/>
          </w:tcPr>
          <w:p w14:paraId="7A6032AF" w14:textId="77777777" w:rsidR="0070405B" w:rsidRPr="007B2920" w:rsidRDefault="00670596" w:rsidP="007B2920">
            <w:pPr>
              <w:spacing w:after="60"/>
              <w:jc w:val="center"/>
              <w:rPr>
                <w:b/>
              </w:rPr>
            </w:pPr>
            <w:r w:rsidRPr="007B2920">
              <w:rPr>
                <w:b/>
              </w:rPr>
              <w:t>Inflation Per Share</w:t>
            </w:r>
          </w:p>
        </w:tc>
      </w:tr>
      <w:tr w:rsidR="00C208DC" w:rsidRPr="007B2920" w14:paraId="3539A340" w14:textId="77777777" w:rsidTr="00A348C1">
        <w:trPr>
          <w:trHeight w:val="360"/>
        </w:trPr>
        <w:tc>
          <w:tcPr>
            <w:tcW w:w="3145" w:type="dxa"/>
            <w:tcBorders>
              <w:top w:val="single" w:sz="4" w:space="0" w:color="auto"/>
              <w:bottom w:val="single" w:sz="4" w:space="0" w:color="auto"/>
              <w:right w:val="single" w:sz="4" w:space="0" w:color="auto"/>
            </w:tcBorders>
            <w:vAlign w:val="bottom"/>
          </w:tcPr>
          <w:p w14:paraId="33125DE3" w14:textId="77777777" w:rsidR="0070405B" w:rsidRPr="007B2920" w:rsidRDefault="00670596" w:rsidP="007B2920">
            <w:pPr>
              <w:spacing w:before="60" w:after="60"/>
              <w:jc w:val="center"/>
            </w:pPr>
            <w:r w:rsidRPr="007B2920">
              <w:t>Monday, February 29, 2016</w:t>
            </w:r>
          </w:p>
        </w:tc>
        <w:tc>
          <w:tcPr>
            <w:tcW w:w="2970" w:type="dxa"/>
            <w:tcBorders>
              <w:top w:val="single" w:sz="4" w:space="0" w:color="auto"/>
              <w:left w:val="single" w:sz="4" w:space="0" w:color="auto"/>
              <w:bottom w:val="single" w:sz="4" w:space="0" w:color="auto"/>
              <w:right w:val="single" w:sz="4" w:space="0" w:color="auto"/>
            </w:tcBorders>
            <w:vAlign w:val="bottom"/>
          </w:tcPr>
          <w:p w14:paraId="62A89565" w14:textId="77777777" w:rsidR="0070405B" w:rsidRPr="007B2920" w:rsidRDefault="00670596" w:rsidP="007B2920">
            <w:pPr>
              <w:spacing w:before="60" w:after="60"/>
              <w:jc w:val="center"/>
            </w:pPr>
            <w:r w:rsidRPr="007B2920">
              <w:t>Thursday, April 20, 2017</w:t>
            </w:r>
          </w:p>
        </w:tc>
        <w:tc>
          <w:tcPr>
            <w:tcW w:w="3235" w:type="dxa"/>
            <w:tcBorders>
              <w:top w:val="single" w:sz="4" w:space="0" w:color="auto"/>
              <w:left w:val="single" w:sz="4" w:space="0" w:color="auto"/>
              <w:bottom w:val="single" w:sz="4" w:space="0" w:color="auto"/>
            </w:tcBorders>
            <w:vAlign w:val="bottom"/>
          </w:tcPr>
          <w:p w14:paraId="78782BEA" w14:textId="77777777" w:rsidR="0070405B" w:rsidRPr="007B2920" w:rsidRDefault="00670596" w:rsidP="007B2920">
            <w:pPr>
              <w:spacing w:before="60" w:after="60"/>
              <w:jc w:val="center"/>
            </w:pPr>
            <w:r w:rsidRPr="007B2920">
              <w:t>$2.22</w:t>
            </w:r>
          </w:p>
        </w:tc>
      </w:tr>
      <w:tr w:rsidR="00C208DC" w:rsidRPr="007B2920" w14:paraId="07FFBA19" w14:textId="77777777" w:rsidTr="00A348C1">
        <w:trPr>
          <w:trHeight w:val="360"/>
        </w:trPr>
        <w:tc>
          <w:tcPr>
            <w:tcW w:w="3145" w:type="dxa"/>
            <w:tcBorders>
              <w:top w:val="single" w:sz="4" w:space="0" w:color="auto"/>
              <w:bottom w:val="single" w:sz="4" w:space="0" w:color="auto"/>
              <w:right w:val="single" w:sz="4" w:space="0" w:color="auto"/>
            </w:tcBorders>
            <w:vAlign w:val="bottom"/>
          </w:tcPr>
          <w:p w14:paraId="7F388FCF" w14:textId="77777777" w:rsidR="0070405B" w:rsidRPr="007B2920" w:rsidRDefault="00670596" w:rsidP="007B2920">
            <w:pPr>
              <w:spacing w:before="60" w:after="60"/>
              <w:jc w:val="center"/>
            </w:pPr>
            <w:r w:rsidRPr="007B2920">
              <w:t>Friday, April 21, 2017</w:t>
            </w:r>
          </w:p>
        </w:tc>
        <w:tc>
          <w:tcPr>
            <w:tcW w:w="2970" w:type="dxa"/>
            <w:tcBorders>
              <w:top w:val="single" w:sz="4" w:space="0" w:color="auto"/>
              <w:left w:val="single" w:sz="4" w:space="0" w:color="auto"/>
              <w:bottom w:val="single" w:sz="4" w:space="0" w:color="auto"/>
              <w:right w:val="single" w:sz="4" w:space="0" w:color="auto"/>
            </w:tcBorders>
            <w:vAlign w:val="bottom"/>
          </w:tcPr>
          <w:p w14:paraId="37F1F5EE" w14:textId="77777777" w:rsidR="0070405B" w:rsidRPr="007B2920" w:rsidRDefault="00670596" w:rsidP="007B2920">
            <w:pPr>
              <w:spacing w:before="60" w:after="60"/>
              <w:jc w:val="center"/>
            </w:pPr>
            <w:r w:rsidRPr="007B2920">
              <w:t>Thursday, July 20, 2017</w:t>
            </w:r>
          </w:p>
        </w:tc>
        <w:tc>
          <w:tcPr>
            <w:tcW w:w="3235" w:type="dxa"/>
            <w:tcBorders>
              <w:top w:val="single" w:sz="4" w:space="0" w:color="auto"/>
              <w:left w:val="single" w:sz="4" w:space="0" w:color="auto"/>
              <w:bottom w:val="single" w:sz="4" w:space="0" w:color="auto"/>
            </w:tcBorders>
            <w:vAlign w:val="bottom"/>
          </w:tcPr>
          <w:p w14:paraId="58747D82" w14:textId="77777777" w:rsidR="0070405B" w:rsidRPr="007B2920" w:rsidRDefault="00670596" w:rsidP="007B2920">
            <w:pPr>
              <w:spacing w:before="60" w:after="60"/>
              <w:jc w:val="center"/>
            </w:pPr>
            <w:r w:rsidRPr="007B2920">
              <w:t>$1.51</w:t>
            </w:r>
          </w:p>
        </w:tc>
      </w:tr>
      <w:tr w:rsidR="00C208DC" w:rsidRPr="007B2920" w14:paraId="10EABB06" w14:textId="77777777" w:rsidTr="00A348C1">
        <w:trPr>
          <w:trHeight w:val="360"/>
        </w:trPr>
        <w:tc>
          <w:tcPr>
            <w:tcW w:w="3145" w:type="dxa"/>
            <w:tcBorders>
              <w:top w:val="single" w:sz="4" w:space="0" w:color="auto"/>
              <w:bottom w:val="single" w:sz="4" w:space="0" w:color="auto"/>
              <w:right w:val="single" w:sz="4" w:space="0" w:color="auto"/>
            </w:tcBorders>
            <w:vAlign w:val="bottom"/>
          </w:tcPr>
          <w:p w14:paraId="78930AB3" w14:textId="77777777" w:rsidR="0070405B" w:rsidRPr="007B2920" w:rsidRDefault="00670596" w:rsidP="007B2920">
            <w:pPr>
              <w:spacing w:before="60" w:after="60"/>
              <w:jc w:val="center"/>
            </w:pPr>
            <w:r w:rsidRPr="007B2920">
              <w:t>Friday, July 21, 2017</w:t>
            </w:r>
          </w:p>
        </w:tc>
        <w:tc>
          <w:tcPr>
            <w:tcW w:w="2970" w:type="dxa"/>
            <w:tcBorders>
              <w:top w:val="single" w:sz="4" w:space="0" w:color="auto"/>
              <w:left w:val="single" w:sz="4" w:space="0" w:color="auto"/>
              <w:bottom w:val="single" w:sz="4" w:space="0" w:color="auto"/>
              <w:right w:val="single" w:sz="4" w:space="0" w:color="auto"/>
            </w:tcBorders>
            <w:vAlign w:val="bottom"/>
          </w:tcPr>
          <w:p w14:paraId="3C0E6904" w14:textId="77777777" w:rsidR="0070405B" w:rsidRPr="007B2920" w:rsidRDefault="00670596" w:rsidP="007B2920">
            <w:pPr>
              <w:spacing w:before="60" w:after="60"/>
              <w:jc w:val="center"/>
            </w:pPr>
            <w:r w:rsidRPr="007B2920">
              <w:t>Thursday, October 19, 2017</w:t>
            </w:r>
          </w:p>
        </w:tc>
        <w:tc>
          <w:tcPr>
            <w:tcW w:w="3235" w:type="dxa"/>
            <w:tcBorders>
              <w:top w:val="single" w:sz="4" w:space="0" w:color="auto"/>
              <w:left w:val="single" w:sz="4" w:space="0" w:color="auto"/>
              <w:bottom w:val="single" w:sz="4" w:space="0" w:color="auto"/>
            </w:tcBorders>
            <w:vAlign w:val="bottom"/>
          </w:tcPr>
          <w:p w14:paraId="0FDF9F30" w14:textId="77777777" w:rsidR="0070405B" w:rsidRPr="007B2920" w:rsidRDefault="00670596" w:rsidP="007B2920">
            <w:pPr>
              <w:spacing w:before="60" w:after="60"/>
              <w:jc w:val="center"/>
            </w:pPr>
            <w:r w:rsidRPr="007B2920">
              <w:t>$0.63</w:t>
            </w:r>
          </w:p>
        </w:tc>
      </w:tr>
      <w:tr w:rsidR="00C208DC" w:rsidRPr="007B2920" w14:paraId="55ED11D4" w14:textId="77777777" w:rsidTr="00A348C1">
        <w:trPr>
          <w:trHeight w:val="360"/>
        </w:trPr>
        <w:tc>
          <w:tcPr>
            <w:tcW w:w="3145" w:type="dxa"/>
            <w:tcBorders>
              <w:top w:val="single" w:sz="4" w:space="0" w:color="auto"/>
              <w:bottom w:val="single" w:sz="4" w:space="0" w:color="auto"/>
              <w:right w:val="single" w:sz="4" w:space="0" w:color="auto"/>
            </w:tcBorders>
            <w:vAlign w:val="bottom"/>
          </w:tcPr>
          <w:p w14:paraId="18158CB4" w14:textId="77777777" w:rsidR="0070405B" w:rsidRPr="007B2920" w:rsidRDefault="00670596" w:rsidP="007B2920">
            <w:pPr>
              <w:spacing w:before="60" w:after="60"/>
              <w:jc w:val="center"/>
            </w:pPr>
            <w:r w:rsidRPr="007B2920">
              <w:t>Friday, October 20, 2017</w:t>
            </w:r>
          </w:p>
        </w:tc>
        <w:tc>
          <w:tcPr>
            <w:tcW w:w="2970" w:type="dxa"/>
            <w:tcBorders>
              <w:top w:val="single" w:sz="4" w:space="0" w:color="auto"/>
              <w:left w:val="single" w:sz="4" w:space="0" w:color="auto"/>
              <w:bottom w:val="single" w:sz="4" w:space="0" w:color="auto"/>
              <w:right w:val="single" w:sz="4" w:space="0" w:color="auto"/>
            </w:tcBorders>
            <w:vAlign w:val="bottom"/>
          </w:tcPr>
          <w:p w14:paraId="0DC39FB9" w14:textId="77777777" w:rsidR="0070405B" w:rsidRPr="007B2920" w:rsidRDefault="00670596" w:rsidP="007B2920">
            <w:pPr>
              <w:spacing w:before="60" w:after="60"/>
              <w:jc w:val="center"/>
            </w:pPr>
            <w:r w:rsidRPr="007B2920">
              <w:t>Friday, November 10, 2017</w:t>
            </w:r>
          </w:p>
        </w:tc>
        <w:tc>
          <w:tcPr>
            <w:tcW w:w="3235" w:type="dxa"/>
            <w:tcBorders>
              <w:top w:val="single" w:sz="4" w:space="0" w:color="auto"/>
              <w:left w:val="single" w:sz="4" w:space="0" w:color="auto"/>
              <w:bottom w:val="single" w:sz="4" w:space="0" w:color="auto"/>
            </w:tcBorders>
            <w:vAlign w:val="bottom"/>
          </w:tcPr>
          <w:p w14:paraId="24D336E1" w14:textId="77777777" w:rsidR="0070405B" w:rsidRPr="007B2920" w:rsidRDefault="00670596" w:rsidP="007B2920">
            <w:pPr>
              <w:spacing w:before="60" w:after="60"/>
              <w:jc w:val="center"/>
            </w:pPr>
            <w:r w:rsidRPr="007B2920">
              <w:t>$0.53</w:t>
            </w:r>
          </w:p>
        </w:tc>
      </w:tr>
      <w:tr w:rsidR="00C208DC" w:rsidRPr="007B2920" w14:paraId="0A2ECC0B" w14:textId="77777777" w:rsidTr="00A348C1">
        <w:trPr>
          <w:trHeight w:val="360"/>
        </w:trPr>
        <w:tc>
          <w:tcPr>
            <w:tcW w:w="3145" w:type="dxa"/>
            <w:tcBorders>
              <w:top w:val="single" w:sz="4" w:space="0" w:color="auto"/>
              <w:bottom w:val="single" w:sz="4" w:space="0" w:color="auto"/>
              <w:right w:val="single" w:sz="4" w:space="0" w:color="auto"/>
            </w:tcBorders>
            <w:vAlign w:val="bottom"/>
          </w:tcPr>
          <w:p w14:paraId="02D1E5C9" w14:textId="77777777" w:rsidR="0070405B" w:rsidRPr="007B2920" w:rsidRDefault="00670596" w:rsidP="007B2920">
            <w:pPr>
              <w:spacing w:before="60" w:after="60"/>
              <w:jc w:val="center"/>
            </w:pPr>
            <w:r w:rsidRPr="007B2920">
              <w:t>Monday, November 13, 2017</w:t>
            </w:r>
          </w:p>
        </w:tc>
        <w:tc>
          <w:tcPr>
            <w:tcW w:w="2970" w:type="dxa"/>
            <w:tcBorders>
              <w:top w:val="single" w:sz="4" w:space="0" w:color="auto"/>
              <w:left w:val="single" w:sz="4" w:space="0" w:color="auto"/>
              <w:bottom w:val="single" w:sz="4" w:space="0" w:color="auto"/>
              <w:right w:val="single" w:sz="4" w:space="0" w:color="auto"/>
            </w:tcBorders>
            <w:vAlign w:val="bottom"/>
          </w:tcPr>
          <w:p w14:paraId="4968F57C" w14:textId="77777777" w:rsidR="0070405B" w:rsidRPr="007B2920" w:rsidRDefault="00670596" w:rsidP="007B2920">
            <w:pPr>
              <w:spacing w:before="60" w:after="60"/>
              <w:jc w:val="center"/>
            </w:pPr>
            <w:r w:rsidRPr="007B2920">
              <w:t>Friday, January 12, 2018</w:t>
            </w:r>
          </w:p>
        </w:tc>
        <w:tc>
          <w:tcPr>
            <w:tcW w:w="3235" w:type="dxa"/>
            <w:tcBorders>
              <w:top w:val="single" w:sz="4" w:space="0" w:color="auto"/>
              <w:left w:val="single" w:sz="4" w:space="0" w:color="auto"/>
              <w:bottom w:val="single" w:sz="4" w:space="0" w:color="auto"/>
            </w:tcBorders>
            <w:vAlign w:val="bottom"/>
          </w:tcPr>
          <w:p w14:paraId="5A9E68FE" w14:textId="77777777" w:rsidR="0070405B" w:rsidRPr="007B2920" w:rsidRDefault="00670596" w:rsidP="007B2920">
            <w:pPr>
              <w:spacing w:before="60" w:after="60"/>
              <w:jc w:val="center"/>
            </w:pPr>
            <w:r w:rsidRPr="007B2920">
              <w:t>$0.32</w:t>
            </w:r>
          </w:p>
        </w:tc>
      </w:tr>
      <w:tr w:rsidR="00C208DC" w:rsidRPr="007B2920" w14:paraId="39A0790C" w14:textId="77777777" w:rsidTr="00A348C1">
        <w:trPr>
          <w:trHeight w:val="360"/>
        </w:trPr>
        <w:tc>
          <w:tcPr>
            <w:tcW w:w="3145" w:type="dxa"/>
            <w:tcBorders>
              <w:top w:val="single" w:sz="4" w:space="0" w:color="auto"/>
              <w:bottom w:val="single" w:sz="4" w:space="0" w:color="auto"/>
              <w:right w:val="single" w:sz="4" w:space="0" w:color="auto"/>
            </w:tcBorders>
            <w:vAlign w:val="bottom"/>
          </w:tcPr>
          <w:p w14:paraId="40566776" w14:textId="77777777" w:rsidR="0070405B" w:rsidRPr="007B2920" w:rsidRDefault="00670596" w:rsidP="007B2920">
            <w:pPr>
              <w:spacing w:before="60" w:after="60"/>
              <w:jc w:val="center"/>
            </w:pPr>
            <w:r w:rsidRPr="007B2920">
              <w:t>Tuesday, January 16, 2018</w:t>
            </w:r>
          </w:p>
        </w:tc>
        <w:tc>
          <w:tcPr>
            <w:tcW w:w="2970" w:type="dxa"/>
            <w:tcBorders>
              <w:top w:val="single" w:sz="4" w:space="0" w:color="auto"/>
              <w:left w:val="single" w:sz="4" w:space="0" w:color="auto"/>
              <w:bottom w:val="single" w:sz="4" w:space="0" w:color="auto"/>
              <w:right w:val="single" w:sz="4" w:space="0" w:color="auto"/>
            </w:tcBorders>
            <w:vAlign w:val="bottom"/>
          </w:tcPr>
          <w:p w14:paraId="4DCBECD0" w14:textId="77777777" w:rsidR="0070405B" w:rsidRPr="007B2920" w:rsidRDefault="00670596" w:rsidP="007B2920">
            <w:pPr>
              <w:spacing w:before="60" w:after="60"/>
              <w:jc w:val="center"/>
            </w:pPr>
            <w:r w:rsidRPr="007B2920">
              <w:t>Tuesday, January 23, 2018</w:t>
            </w:r>
          </w:p>
        </w:tc>
        <w:tc>
          <w:tcPr>
            <w:tcW w:w="3235" w:type="dxa"/>
            <w:tcBorders>
              <w:top w:val="single" w:sz="4" w:space="0" w:color="auto"/>
              <w:left w:val="single" w:sz="4" w:space="0" w:color="auto"/>
              <w:bottom w:val="single" w:sz="4" w:space="0" w:color="auto"/>
            </w:tcBorders>
            <w:vAlign w:val="bottom"/>
          </w:tcPr>
          <w:p w14:paraId="2348C453" w14:textId="77777777" w:rsidR="0070405B" w:rsidRPr="007B2920" w:rsidRDefault="00670596" w:rsidP="007B2920">
            <w:pPr>
              <w:spacing w:before="60" w:after="60"/>
              <w:jc w:val="center"/>
            </w:pPr>
            <w:r w:rsidRPr="007B2920">
              <w:t>$0.07</w:t>
            </w:r>
          </w:p>
        </w:tc>
      </w:tr>
      <w:tr w:rsidR="00C208DC" w:rsidRPr="007B2920" w14:paraId="1854D6B7" w14:textId="77777777" w:rsidTr="00A348C1">
        <w:trPr>
          <w:trHeight w:val="360"/>
        </w:trPr>
        <w:tc>
          <w:tcPr>
            <w:tcW w:w="3145" w:type="dxa"/>
            <w:tcBorders>
              <w:top w:val="single" w:sz="4" w:space="0" w:color="auto"/>
              <w:bottom w:val="single" w:sz="4" w:space="0" w:color="auto"/>
              <w:right w:val="single" w:sz="4" w:space="0" w:color="auto"/>
            </w:tcBorders>
            <w:vAlign w:val="bottom"/>
          </w:tcPr>
          <w:p w14:paraId="5C50937B" w14:textId="77777777" w:rsidR="0070405B" w:rsidRPr="007B2920" w:rsidRDefault="00670596" w:rsidP="007B2920">
            <w:pPr>
              <w:spacing w:before="60" w:after="60"/>
              <w:jc w:val="center"/>
            </w:pPr>
            <w:r w:rsidRPr="007B2920">
              <w:t>Wednesday, January 24, 2018</w:t>
            </w:r>
          </w:p>
        </w:tc>
        <w:tc>
          <w:tcPr>
            <w:tcW w:w="2970" w:type="dxa"/>
            <w:tcBorders>
              <w:top w:val="single" w:sz="4" w:space="0" w:color="auto"/>
              <w:left w:val="single" w:sz="4" w:space="0" w:color="auto"/>
              <w:bottom w:val="single" w:sz="4" w:space="0" w:color="auto"/>
              <w:right w:val="single" w:sz="4" w:space="0" w:color="auto"/>
            </w:tcBorders>
            <w:vAlign w:val="bottom"/>
          </w:tcPr>
          <w:p w14:paraId="1A36B286" w14:textId="77777777" w:rsidR="0070405B" w:rsidRPr="007B2920" w:rsidRDefault="00670596" w:rsidP="007B2920">
            <w:pPr>
              <w:spacing w:before="60" w:after="60"/>
              <w:jc w:val="center"/>
            </w:pPr>
            <w:r w:rsidRPr="007B2920">
              <w:t>Thereafter</w:t>
            </w:r>
          </w:p>
        </w:tc>
        <w:tc>
          <w:tcPr>
            <w:tcW w:w="3235" w:type="dxa"/>
            <w:tcBorders>
              <w:top w:val="single" w:sz="4" w:space="0" w:color="auto"/>
              <w:left w:val="single" w:sz="4" w:space="0" w:color="auto"/>
              <w:bottom w:val="single" w:sz="4" w:space="0" w:color="auto"/>
            </w:tcBorders>
            <w:vAlign w:val="bottom"/>
          </w:tcPr>
          <w:p w14:paraId="3F6B742E" w14:textId="77777777" w:rsidR="0070405B" w:rsidRPr="007B2920" w:rsidRDefault="00670596" w:rsidP="007B2920">
            <w:pPr>
              <w:spacing w:before="60" w:after="60"/>
              <w:jc w:val="center"/>
            </w:pPr>
            <w:r w:rsidRPr="007B2920">
              <w:t>$0.00</w:t>
            </w:r>
          </w:p>
        </w:tc>
      </w:tr>
    </w:tbl>
    <w:p w14:paraId="09BDE155" w14:textId="5F0962D9" w:rsidR="0070405B" w:rsidRPr="007B2920" w:rsidRDefault="0070405B" w:rsidP="007B2920"/>
    <w:p w14:paraId="062209FC" w14:textId="77777777" w:rsidR="0070405B" w:rsidRPr="007B2920" w:rsidRDefault="0070405B" w:rsidP="007B2920"/>
    <w:tbl>
      <w:tblPr>
        <w:tblStyle w:val="TableGrid"/>
        <w:tblW w:w="0" w:type="auto"/>
        <w:tblLook w:val="04A0" w:firstRow="1" w:lastRow="0" w:firstColumn="1" w:lastColumn="0" w:noHBand="0" w:noVBand="1"/>
      </w:tblPr>
      <w:tblGrid>
        <w:gridCol w:w="4953"/>
        <w:gridCol w:w="4397"/>
      </w:tblGrid>
      <w:tr w:rsidR="00C208DC" w:rsidRPr="007B2920" w14:paraId="5DA31282" w14:textId="77777777" w:rsidTr="00A348C1">
        <w:tc>
          <w:tcPr>
            <w:tcW w:w="9350" w:type="dxa"/>
            <w:gridSpan w:val="2"/>
            <w:tcBorders>
              <w:bottom w:val="single" w:sz="4" w:space="0" w:color="auto"/>
            </w:tcBorders>
            <w:vAlign w:val="center"/>
          </w:tcPr>
          <w:p w14:paraId="547A2BDB" w14:textId="77777777" w:rsidR="0070405B" w:rsidRPr="007B2920" w:rsidRDefault="00670596" w:rsidP="00EF0532">
            <w:pPr>
              <w:spacing w:before="60"/>
              <w:jc w:val="center"/>
              <w:rPr>
                <w:b/>
              </w:rPr>
            </w:pPr>
            <w:r w:rsidRPr="007B2920">
              <w:rPr>
                <w:b/>
              </w:rPr>
              <w:lastRenderedPageBreak/>
              <w:t>TABLE 2</w:t>
            </w:r>
          </w:p>
          <w:p w14:paraId="6DF15051" w14:textId="77777777" w:rsidR="0070405B" w:rsidRPr="007B2920" w:rsidRDefault="00670596" w:rsidP="00EF0532">
            <w:pPr>
              <w:spacing w:after="60"/>
              <w:jc w:val="center"/>
              <w:rPr>
                <w:b/>
              </w:rPr>
            </w:pPr>
            <w:r w:rsidRPr="007B2920">
              <w:rPr>
                <w:b/>
              </w:rPr>
              <w:t>GE Common Stock 90-Day Look-Back Value by Sale/Disposition Date</w:t>
            </w:r>
          </w:p>
        </w:tc>
      </w:tr>
      <w:tr w:rsidR="00C208DC" w:rsidRPr="007B2920" w14:paraId="00E9F604" w14:textId="77777777" w:rsidTr="00A348C1">
        <w:trPr>
          <w:trHeight w:val="360"/>
        </w:trPr>
        <w:tc>
          <w:tcPr>
            <w:tcW w:w="4953" w:type="dxa"/>
            <w:tcBorders>
              <w:top w:val="single" w:sz="4" w:space="0" w:color="auto"/>
              <w:bottom w:val="single" w:sz="4" w:space="0" w:color="auto"/>
              <w:right w:val="single" w:sz="4" w:space="0" w:color="auto"/>
            </w:tcBorders>
            <w:shd w:val="clear" w:color="auto" w:fill="D9D9D9" w:themeFill="background1" w:themeFillShade="D9"/>
            <w:vAlign w:val="center"/>
          </w:tcPr>
          <w:p w14:paraId="5409F265" w14:textId="77777777" w:rsidR="0070405B" w:rsidRPr="007B2920" w:rsidRDefault="00670596" w:rsidP="007B2920">
            <w:pPr>
              <w:spacing w:after="60"/>
              <w:jc w:val="center"/>
              <w:rPr>
                <w:b/>
              </w:rPr>
            </w:pPr>
            <w:r w:rsidRPr="007B2920">
              <w:rPr>
                <w:b/>
              </w:rPr>
              <w:t>Sale Date</w:t>
            </w:r>
          </w:p>
        </w:tc>
        <w:tc>
          <w:tcPr>
            <w:tcW w:w="4397" w:type="dxa"/>
            <w:tcBorders>
              <w:top w:val="single" w:sz="4" w:space="0" w:color="auto"/>
              <w:left w:val="single" w:sz="4" w:space="0" w:color="auto"/>
              <w:bottom w:val="single" w:sz="4" w:space="0" w:color="auto"/>
            </w:tcBorders>
            <w:shd w:val="clear" w:color="auto" w:fill="D9D9D9" w:themeFill="background1" w:themeFillShade="D9"/>
            <w:vAlign w:val="center"/>
          </w:tcPr>
          <w:p w14:paraId="1CA4FF7C" w14:textId="77777777" w:rsidR="0070405B" w:rsidRPr="007B2920" w:rsidRDefault="00670596" w:rsidP="007B2920">
            <w:pPr>
              <w:spacing w:after="60"/>
              <w:jc w:val="center"/>
              <w:rPr>
                <w:b/>
              </w:rPr>
            </w:pPr>
            <w:r w:rsidRPr="007B2920">
              <w:rPr>
                <w:b/>
              </w:rPr>
              <w:t>90-Day Look-Back Value</w:t>
            </w:r>
          </w:p>
        </w:tc>
      </w:tr>
      <w:tr w:rsidR="00C208DC" w:rsidRPr="007B2920" w14:paraId="4FED6D1B" w14:textId="77777777" w:rsidTr="00A348C1">
        <w:trPr>
          <w:trHeight w:val="265"/>
        </w:trPr>
        <w:tc>
          <w:tcPr>
            <w:tcW w:w="4953" w:type="dxa"/>
            <w:tcBorders>
              <w:top w:val="single" w:sz="4" w:space="0" w:color="auto"/>
              <w:bottom w:val="single" w:sz="4" w:space="0" w:color="auto"/>
              <w:right w:val="single" w:sz="4" w:space="0" w:color="auto"/>
            </w:tcBorders>
            <w:noWrap/>
            <w:hideMark/>
          </w:tcPr>
          <w:p w14:paraId="2A8FB33F" w14:textId="77777777" w:rsidR="0070405B" w:rsidRPr="007B2920" w:rsidRDefault="00670596" w:rsidP="007B2920">
            <w:pPr>
              <w:jc w:val="center"/>
            </w:pPr>
            <w:r w:rsidRPr="007B2920">
              <w:t>Wednesday, January 24, 2018</w:t>
            </w:r>
          </w:p>
        </w:tc>
        <w:tc>
          <w:tcPr>
            <w:tcW w:w="4397" w:type="dxa"/>
            <w:tcBorders>
              <w:top w:val="single" w:sz="4" w:space="0" w:color="auto"/>
              <w:left w:val="single" w:sz="4" w:space="0" w:color="auto"/>
              <w:bottom w:val="single" w:sz="4" w:space="0" w:color="auto"/>
            </w:tcBorders>
            <w:noWrap/>
            <w:hideMark/>
          </w:tcPr>
          <w:p w14:paraId="65DC4FC7" w14:textId="77777777" w:rsidR="0070405B" w:rsidRPr="007B2920" w:rsidRDefault="00670596" w:rsidP="007B2920">
            <w:pPr>
              <w:jc w:val="center"/>
            </w:pPr>
            <w:r w:rsidRPr="007B2920">
              <w:t>$16.44</w:t>
            </w:r>
          </w:p>
        </w:tc>
      </w:tr>
      <w:tr w:rsidR="00C208DC" w:rsidRPr="007B2920" w14:paraId="491DE022" w14:textId="77777777" w:rsidTr="00A348C1">
        <w:trPr>
          <w:trHeight w:val="265"/>
        </w:trPr>
        <w:tc>
          <w:tcPr>
            <w:tcW w:w="4953" w:type="dxa"/>
            <w:tcBorders>
              <w:top w:val="single" w:sz="4" w:space="0" w:color="auto"/>
              <w:bottom w:val="single" w:sz="4" w:space="0" w:color="auto"/>
              <w:right w:val="single" w:sz="4" w:space="0" w:color="auto"/>
            </w:tcBorders>
            <w:noWrap/>
            <w:hideMark/>
          </w:tcPr>
          <w:p w14:paraId="627F84DD" w14:textId="77777777" w:rsidR="0070405B" w:rsidRPr="007B2920" w:rsidRDefault="00670596" w:rsidP="007B2920">
            <w:pPr>
              <w:jc w:val="center"/>
            </w:pPr>
            <w:r w:rsidRPr="007B2920">
              <w:t>Thursday, January 25, 2018</w:t>
            </w:r>
          </w:p>
        </w:tc>
        <w:tc>
          <w:tcPr>
            <w:tcW w:w="4397" w:type="dxa"/>
            <w:tcBorders>
              <w:top w:val="single" w:sz="4" w:space="0" w:color="auto"/>
              <w:left w:val="single" w:sz="4" w:space="0" w:color="auto"/>
              <w:bottom w:val="single" w:sz="4" w:space="0" w:color="auto"/>
            </w:tcBorders>
            <w:noWrap/>
            <w:hideMark/>
          </w:tcPr>
          <w:p w14:paraId="51190D3E" w14:textId="77777777" w:rsidR="0070405B" w:rsidRPr="007B2920" w:rsidRDefault="00670596" w:rsidP="007B2920">
            <w:pPr>
              <w:jc w:val="center"/>
            </w:pPr>
            <w:r w:rsidRPr="007B2920">
              <w:t>$16.31</w:t>
            </w:r>
          </w:p>
        </w:tc>
      </w:tr>
      <w:tr w:rsidR="00C208DC" w:rsidRPr="007B2920" w14:paraId="6261CDEB" w14:textId="77777777" w:rsidTr="00A348C1">
        <w:trPr>
          <w:trHeight w:val="265"/>
        </w:trPr>
        <w:tc>
          <w:tcPr>
            <w:tcW w:w="4953" w:type="dxa"/>
            <w:tcBorders>
              <w:top w:val="single" w:sz="4" w:space="0" w:color="auto"/>
              <w:bottom w:val="single" w:sz="4" w:space="0" w:color="auto"/>
              <w:right w:val="single" w:sz="4" w:space="0" w:color="auto"/>
            </w:tcBorders>
            <w:noWrap/>
            <w:hideMark/>
          </w:tcPr>
          <w:p w14:paraId="1A2C65AD" w14:textId="77777777" w:rsidR="0070405B" w:rsidRPr="007B2920" w:rsidRDefault="00670596" w:rsidP="007B2920">
            <w:pPr>
              <w:jc w:val="center"/>
            </w:pPr>
            <w:r w:rsidRPr="007B2920">
              <w:t>Friday, January 26, 2018</w:t>
            </w:r>
          </w:p>
        </w:tc>
        <w:tc>
          <w:tcPr>
            <w:tcW w:w="4397" w:type="dxa"/>
            <w:tcBorders>
              <w:top w:val="single" w:sz="4" w:space="0" w:color="auto"/>
              <w:left w:val="single" w:sz="4" w:space="0" w:color="auto"/>
              <w:bottom w:val="single" w:sz="4" w:space="0" w:color="auto"/>
            </w:tcBorders>
            <w:noWrap/>
            <w:hideMark/>
          </w:tcPr>
          <w:p w14:paraId="344551D9" w14:textId="77777777" w:rsidR="0070405B" w:rsidRPr="007B2920" w:rsidRDefault="00670596" w:rsidP="007B2920">
            <w:pPr>
              <w:jc w:val="center"/>
            </w:pPr>
            <w:r w:rsidRPr="007B2920">
              <w:t>$16.25</w:t>
            </w:r>
          </w:p>
        </w:tc>
      </w:tr>
      <w:tr w:rsidR="00C208DC" w:rsidRPr="007B2920" w14:paraId="7AE9FC0A" w14:textId="77777777" w:rsidTr="00A348C1">
        <w:trPr>
          <w:trHeight w:val="265"/>
        </w:trPr>
        <w:tc>
          <w:tcPr>
            <w:tcW w:w="4953" w:type="dxa"/>
            <w:tcBorders>
              <w:top w:val="single" w:sz="4" w:space="0" w:color="auto"/>
              <w:bottom w:val="single" w:sz="4" w:space="0" w:color="auto"/>
              <w:right w:val="single" w:sz="4" w:space="0" w:color="auto"/>
            </w:tcBorders>
            <w:noWrap/>
            <w:hideMark/>
          </w:tcPr>
          <w:p w14:paraId="5D259346" w14:textId="77777777" w:rsidR="0070405B" w:rsidRPr="007B2920" w:rsidRDefault="00670596" w:rsidP="007B2920">
            <w:pPr>
              <w:jc w:val="center"/>
            </w:pPr>
            <w:r w:rsidRPr="007B2920">
              <w:t>Monday, January 29, 2018</w:t>
            </w:r>
          </w:p>
        </w:tc>
        <w:tc>
          <w:tcPr>
            <w:tcW w:w="4397" w:type="dxa"/>
            <w:tcBorders>
              <w:top w:val="single" w:sz="4" w:space="0" w:color="auto"/>
              <w:left w:val="single" w:sz="4" w:space="0" w:color="auto"/>
              <w:bottom w:val="single" w:sz="4" w:space="0" w:color="auto"/>
            </w:tcBorders>
            <w:noWrap/>
            <w:hideMark/>
          </w:tcPr>
          <w:p w14:paraId="058FDBA5" w14:textId="77777777" w:rsidR="0070405B" w:rsidRPr="007B2920" w:rsidRDefault="00670596" w:rsidP="007B2920">
            <w:pPr>
              <w:jc w:val="center"/>
            </w:pPr>
            <w:r w:rsidRPr="007B2920">
              <w:t>$16.26</w:t>
            </w:r>
          </w:p>
        </w:tc>
      </w:tr>
      <w:tr w:rsidR="00C208DC" w:rsidRPr="007B2920" w14:paraId="09A910A0" w14:textId="77777777" w:rsidTr="00A348C1">
        <w:trPr>
          <w:trHeight w:val="265"/>
        </w:trPr>
        <w:tc>
          <w:tcPr>
            <w:tcW w:w="4953" w:type="dxa"/>
            <w:tcBorders>
              <w:top w:val="single" w:sz="4" w:space="0" w:color="auto"/>
              <w:bottom w:val="single" w:sz="4" w:space="0" w:color="auto"/>
              <w:right w:val="single" w:sz="4" w:space="0" w:color="auto"/>
            </w:tcBorders>
            <w:noWrap/>
            <w:hideMark/>
          </w:tcPr>
          <w:p w14:paraId="7D770730" w14:textId="77777777" w:rsidR="0070405B" w:rsidRPr="007B2920" w:rsidRDefault="00670596" w:rsidP="007B2920">
            <w:pPr>
              <w:jc w:val="center"/>
            </w:pPr>
            <w:r w:rsidRPr="007B2920">
              <w:t>Tuesday, January 30, 2018</w:t>
            </w:r>
          </w:p>
        </w:tc>
        <w:tc>
          <w:tcPr>
            <w:tcW w:w="4397" w:type="dxa"/>
            <w:tcBorders>
              <w:top w:val="single" w:sz="4" w:space="0" w:color="auto"/>
              <w:left w:val="single" w:sz="4" w:space="0" w:color="auto"/>
              <w:bottom w:val="single" w:sz="4" w:space="0" w:color="auto"/>
            </w:tcBorders>
            <w:noWrap/>
            <w:hideMark/>
          </w:tcPr>
          <w:p w14:paraId="5A5BAA82" w14:textId="77777777" w:rsidR="0070405B" w:rsidRPr="007B2920" w:rsidRDefault="00670596" w:rsidP="007B2920">
            <w:pPr>
              <w:jc w:val="center"/>
            </w:pPr>
            <w:r w:rsidRPr="007B2920">
              <w:t>$16.20</w:t>
            </w:r>
          </w:p>
        </w:tc>
      </w:tr>
      <w:tr w:rsidR="00C208DC" w:rsidRPr="007B2920" w14:paraId="53E0057E" w14:textId="77777777" w:rsidTr="00A348C1">
        <w:trPr>
          <w:trHeight w:val="265"/>
        </w:trPr>
        <w:tc>
          <w:tcPr>
            <w:tcW w:w="4953" w:type="dxa"/>
            <w:tcBorders>
              <w:top w:val="single" w:sz="4" w:space="0" w:color="auto"/>
              <w:bottom w:val="single" w:sz="4" w:space="0" w:color="auto"/>
              <w:right w:val="single" w:sz="4" w:space="0" w:color="auto"/>
            </w:tcBorders>
            <w:noWrap/>
            <w:hideMark/>
          </w:tcPr>
          <w:p w14:paraId="35EF83F8" w14:textId="77777777" w:rsidR="0070405B" w:rsidRPr="007B2920" w:rsidRDefault="00670596" w:rsidP="007B2920">
            <w:pPr>
              <w:jc w:val="center"/>
            </w:pPr>
            <w:r w:rsidRPr="007B2920">
              <w:t>Wednesday, January 31, 2018</w:t>
            </w:r>
          </w:p>
        </w:tc>
        <w:tc>
          <w:tcPr>
            <w:tcW w:w="4397" w:type="dxa"/>
            <w:tcBorders>
              <w:top w:val="single" w:sz="4" w:space="0" w:color="auto"/>
              <w:left w:val="single" w:sz="4" w:space="0" w:color="auto"/>
              <w:bottom w:val="single" w:sz="4" w:space="0" w:color="auto"/>
            </w:tcBorders>
            <w:noWrap/>
            <w:hideMark/>
          </w:tcPr>
          <w:p w14:paraId="40A6A3A0" w14:textId="77777777" w:rsidR="0070405B" w:rsidRPr="007B2920" w:rsidRDefault="00670596" w:rsidP="007B2920">
            <w:pPr>
              <w:jc w:val="center"/>
            </w:pPr>
            <w:r w:rsidRPr="007B2920">
              <w:t>$16.19</w:t>
            </w:r>
          </w:p>
        </w:tc>
      </w:tr>
      <w:tr w:rsidR="00C208DC" w:rsidRPr="007B2920" w14:paraId="2EF08BA0" w14:textId="77777777" w:rsidTr="00A348C1">
        <w:trPr>
          <w:trHeight w:val="265"/>
        </w:trPr>
        <w:tc>
          <w:tcPr>
            <w:tcW w:w="4953" w:type="dxa"/>
            <w:tcBorders>
              <w:top w:val="single" w:sz="4" w:space="0" w:color="auto"/>
              <w:bottom w:val="single" w:sz="4" w:space="0" w:color="auto"/>
              <w:right w:val="single" w:sz="4" w:space="0" w:color="auto"/>
            </w:tcBorders>
            <w:noWrap/>
            <w:hideMark/>
          </w:tcPr>
          <w:p w14:paraId="543FA0D8" w14:textId="77777777" w:rsidR="0070405B" w:rsidRPr="007B2920" w:rsidRDefault="00670596" w:rsidP="007B2920">
            <w:pPr>
              <w:jc w:val="center"/>
            </w:pPr>
            <w:r w:rsidRPr="007B2920">
              <w:t>Thursday, February 1, 2018</w:t>
            </w:r>
          </w:p>
        </w:tc>
        <w:tc>
          <w:tcPr>
            <w:tcW w:w="4397" w:type="dxa"/>
            <w:tcBorders>
              <w:top w:val="single" w:sz="4" w:space="0" w:color="auto"/>
              <w:left w:val="single" w:sz="4" w:space="0" w:color="auto"/>
              <w:bottom w:val="single" w:sz="4" w:space="0" w:color="auto"/>
            </w:tcBorders>
            <w:noWrap/>
            <w:hideMark/>
          </w:tcPr>
          <w:p w14:paraId="280A51CA" w14:textId="77777777" w:rsidR="0070405B" w:rsidRPr="007B2920" w:rsidRDefault="00670596" w:rsidP="007B2920">
            <w:pPr>
              <w:jc w:val="center"/>
            </w:pPr>
            <w:r w:rsidRPr="007B2920">
              <w:t>$16.17</w:t>
            </w:r>
          </w:p>
        </w:tc>
      </w:tr>
      <w:tr w:rsidR="00C208DC" w:rsidRPr="007B2920" w14:paraId="5304FF17" w14:textId="77777777" w:rsidTr="00A348C1">
        <w:trPr>
          <w:trHeight w:val="265"/>
        </w:trPr>
        <w:tc>
          <w:tcPr>
            <w:tcW w:w="4953" w:type="dxa"/>
            <w:tcBorders>
              <w:top w:val="single" w:sz="4" w:space="0" w:color="auto"/>
              <w:bottom w:val="single" w:sz="4" w:space="0" w:color="auto"/>
              <w:right w:val="single" w:sz="4" w:space="0" w:color="auto"/>
            </w:tcBorders>
            <w:noWrap/>
            <w:hideMark/>
          </w:tcPr>
          <w:p w14:paraId="5D293969" w14:textId="77777777" w:rsidR="0070405B" w:rsidRPr="007B2920" w:rsidRDefault="00670596" w:rsidP="007B2920">
            <w:pPr>
              <w:jc w:val="center"/>
            </w:pPr>
            <w:r w:rsidRPr="007B2920">
              <w:t>Friday, February 2, 2018</w:t>
            </w:r>
          </w:p>
        </w:tc>
        <w:tc>
          <w:tcPr>
            <w:tcW w:w="4397" w:type="dxa"/>
            <w:tcBorders>
              <w:top w:val="single" w:sz="4" w:space="0" w:color="auto"/>
              <w:left w:val="single" w:sz="4" w:space="0" w:color="auto"/>
              <w:bottom w:val="single" w:sz="4" w:space="0" w:color="auto"/>
            </w:tcBorders>
            <w:noWrap/>
            <w:hideMark/>
          </w:tcPr>
          <w:p w14:paraId="118C6B81" w14:textId="77777777" w:rsidR="0070405B" w:rsidRPr="007B2920" w:rsidRDefault="00670596" w:rsidP="007B2920">
            <w:pPr>
              <w:jc w:val="center"/>
            </w:pPr>
            <w:r w:rsidRPr="007B2920">
              <w:t>$16.10</w:t>
            </w:r>
          </w:p>
        </w:tc>
      </w:tr>
      <w:tr w:rsidR="00C208DC" w:rsidRPr="007B2920" w14:paraId="20360895" w14:textId="77777777" w:rsidTr="00A348C1">
        <w:trPr>
          <w:trHeight w:val="265"/>
        </w:trPr>
        <w:tc>
          <w:tcPr>
            <w:tcW w:w="4953" w:type="dxa"/>
            <w:tcBorders>
              <w:top w:val="single" w:sz="4" w:space="0" w:color="auto"/>
              <w:bottom w:val="single" w:sz="4" w:space="0" w:color="auto"/>
              <w:right w:val="single" w:sz="4" w:space="0" w:color="auto"/>
            </w:tcBorders>
            <w:noWrap/>
            <w:hideMark/>
          </w:tcPr>
          <w:p w14:paraId="01BAFD49" w14:textId="77777777" w:rsidR="0070405B" w:rsidRPr="007B2920" w:rsidRDefault="00670596" w:rsidP="007B2920">
            <w:pPr>
              <w:jc w:val="center"/>
            </w:pPr>
            <w:r w:rsidRPr="007B2920">
              <w:t>Monday, February 5, 2018</w:t>
            </w:r>
          </w:p>
        </w:tc>
        <w:tc>
          <w:tcPr>
            <w:tcW w:w="4397" w:type="dxa"/>
            <w:tcBorders>
              <w:top w:val="single" w:sz="4" w:space="0" w:color="auto"/>
              <w:left w:val="single" w:sz="4" w:space="0" w:color="auto"/>
              <w:bottom w:val="single" w:sz="4" w:space="0" w:color="auto"/>
            </w:tcBorders>
            <w:noWrap/>
            <w:hideMark/>
          </w:tcPr>
          <w:p w14:paraId="7D938A85" w14:textId="77777777" w:rsidR="0070405B" w:rsidRPr="007B2920" w:rsidRDefault="00670596" w:rsidP="007B2920">
            <w:pPr>
              <w:jc w:val="center"/>
            </w:pPr>
            <w:r w:rsidRPr="007B2920">
              <w:t>$15.97</w:t>
            </w:r>
          </w:p>
        </w:tc>
      </w:tr>
      <w:tr w:rsidR="00C208DC" w:rsidRPr="007B2920" w14:paraId="6E9A3D23" w14:textId="77777777" w:rsidTr="00A348C1">
        <w:trPr>
          <w:trHeight w:val="265"/>
        </w:trPr>
        <w:tc>
          <w:tcPr>
            <w:tcW w:w="4953" w:type="dxa"/>
            <w:tcBorders>
              <w:top w:val="single" w:sz="4" w:space="0" w:color="auto"/>
              <w:bottom w:val="single" w:sz="4" w:space="0" w:color="auto"/>
              <w:right w:val="single" w:sz="4" w:space="0" w:color="auto"/>
            </w:tcBorders>
            <w:noWrap/>
            <w:hideMark/>
          </w:tcPr>
          <w:p w14:paraId="53F3F4B3" w14:textId="77777777" w:rsidR="0070405B" w:rsidRPr="007B2920" w:rsidRDefault="00670596" w:rsidP="007B2920">
            <w:pPr>
              <w:jc w:val="center"/>
            </w:pPr>
            <w:r w:rsidRPr="007B2920">
              <w:t>Tuesday, February 6, 2018</w:t>
            </w:r>
          </w:p>
        </w:tc>
        <w:tc>
          <w:tcPr>
            <w:tcW w:w="4397" w:type="dxa"/>
            <w:tcBorders>
              <w:top w:val="single" w:sz="4" w:space="0" w:color="auto"/>
              <w:left w:val="single" w:sz="4" w:space="0" w:color="auto"/>
              <w:bottom w:val="single" w:sz="4" w:space="0" w:color="auto"/>
            </w:tcBorders>
            <w:noWrap/>
            <w:hideMark/>
          </w:tcPr>
          <w:p w14:paraId="50FF5630" w14:textId="77777777" w:rsidR="0070405B" w:rsidRPr="007B2920" w:rsidRDefault="00670596" w:rsidP="007B2920">
            <w:pPr>
              <w:jc w:val="center"/>
            </w:pPr>
            <w:r w:rsidRPr="007B2920">
              <w:t>$15.90</w:t>
            </w:r>
          </w:p>
        </w:tc>
      </w:tr>
      <w:tr w:rsidR="00C208DC" w:rsidRPr="007B2920" w14:paraId="2BAA6124" w14:textId="77777777" w:rsidTr="00A348C1">
        <w:trPr>
          <w:trHeight w:val="265"/>
        </w:trPr>
        <w:tc>
          <w:tcPr>
            <w:tcW w:w="4953" w:type="dxa"/>
            <w:tcBorders>
              <w:top w:val="single" w:sz="4" w:space="0" w:color="auto"/>
              <w:bottom w:val="single" w:sz="4" w:space="0" w:color="auto"/>
              <w:right w:val="single" w:sz="4" w:space="0" w:color="auto"/>
            </w:tcBorders>
            <w:noWrap/>
            <w:hideMark/>
          </w:tcPr>
          <w:p w14:paraId="2E284F6B" w14:textId="77777777" w:rsidR="0070405B" w:rsidRPr="007B2920" w:rsidRDefault="00670596" w:rsidP="007B2920">
            <w:pPr>
              <w:jc w:val="center"/>
            </w:pPr>
            <w:r w:rsidRPr="007B2920">
              <w:t>Wednesday, February 7, 2018</w:t>
            </w:r>
          </w:p>
        </w:tc>
        <w:tc>
          <w:tcPr>
            <w:tcW w:w="4397" w:type="dxa"/>
            <w:tcBorders>
              <w:top w:val="single" w:sz="4" w:space="0" w:color="auto"/>
              <w:left w:val="single" w:sz="4" w:space="0" w:color="auto"/>
              <w:bottom w:val="single" w:sz="4" w:space="0" w:color="auto"/>
            </w:tcBorders>
            <w:noWrap/>
            <w:hideMark/>
          </w:tcPr>
          <w:p w14:paraId="5B7B7E55" w14:textId="77777777" w:rsidR="0070405B" w:rsidRPr="007B2920" w:rsidRDefault="00670596" w:rsidP="007B2920">
            <w:pPr>
              <w:jc w:val="center"/>
            </w:pPr>
            <w:r w:rsidRPr="007B2920">
              <w:t>$15.84</w:t>
            </w:r>
          </w:p>
        </w:tc>
      </w:tr>
      <w:tr w:rsidR="00C208DC" w:rsidRPr="007B2920" w14:paraId="172F4729" w14:textId="77777777" w:rsidTr="00A348C1">
        <w:trPr>
          <w:trHeight w:val="265"/>
        </w:trPr>
        <w:tc>
          <w:tcPr>
            <w:tcW w:w="4953" w:type="dxa"/>
            <w:tcBorders>
              <w:top w:val="single" w:sz="4" w:space="0" w:color="auto"/>
              <w:bottom w:val="single" w:sz="4" w:space="0" w:color="auto"/>
              <w:right w:val="single" w:sz="4" w:space="0" w:color="auto"/>
            </w:tcBorders>
            <w:noWrap/>
            <w:hideMark/>
          </w:tcPr>
          <w:p w14:paraId="425D68E3" w14:textId="77777777" w:rsidR="0070405B" w:rsidRPr="007B2920" w:rsidRDefault="00670596" w:rsidP="007B2920">
            <w:pPr>
              <w:jc w:val="center"/>
            </w:pPr>
            <w:r w:rsidRPr="007B2920">
              <w:t>Thursday, February 8, 2018</w:t>
            </w:r>
          </w:p>
        </w:tc>
        <w:tc>
          <w:tcPr>
            <w:tcW w:w="4397" w:type="dxa"/>
            <w:tcBorders>
              <w:top w:val="single" w:sz="4" w:space="0" w:color="auto"/>
              <w:left w:val="single" w:sz="4" w:space="0" w:color="auto"/>
              <w:bottom w:val="single" w:sz="4" w:space="0" w:color="auto"/>
            </w:tcBorders>
            <w:noWrap/>
            <w:hideMark/>
          </w:tcPr>
          <w:p w14:paraId="148D98E5" w14:textId="77777777" w:rsidR="0070405B" w:rsidRPr="007B2920" w:rsidRDefault="00670596" w:rsidP="007B2920">
            <w:pPr>
              <w:jc w:val="center"/>
            </w:pPr>
            <w:r w:rsidRPr="007B2920">
              <w:t>$15.72</w:t>
            </w:r>
          </w:p>
        </w:tc>
      </w:tr>
      <w:tr w:rsidR="00C208DC" w:rsidRPr="007B2920" w14:paraId="042BDF55" w14:textId="77777777" w:rsidTr="00A348C1">
        <w:trPr>
          <w:trHeight w:val="265"/>
        </w:trPr>
        <w:tc>
          <w:tcPr>
            <w:tcW w:w="4953" w:type="dxa"/>
            <w:tcBorders>
              <w:top w:val="single" w:sz="4" w:space="0" w:color="auto"/>
              <w:bottom w:val="single" w:sz="4" w:space="0" w:color="auto"/>
              <w:right w:val="single" w:sz="4" w:space="0" w:color="auto"/>
            </w:tcBorders>
            <w:noWrap/>
            <w:hideMark/>
          </w:tcPr>
          <w:p w14:paraId="0BC9ABB1" w14:textId="77777777" w:rsidR="0070405B" w:rsidRPr="007B2920" w:rsidRDefault="00670596" w:rsidP="007B2920">
            <w:pPr>
              <w:jc w:val="center"/>
            </w:pPr>
            <w:r w:rsidRPr="007B2920">
              <w:t>Friday, February 9, 2018</w:t>
            </w:r>
          </w:p>
        </w:tc>
        <w:tc>
          <w:tcPr>
            <w:tcW w:w="4397" w:type="dxa"/>
            <w:tcBorders>
              <w:top w:val="single" w:sz="4" w:space="0" w:color="auto"/>
              <w:left w:val="single" w:sz="4" w:space="0" w:color="auto"/>
              <w:bottom w:val="single" w:sz="4" w:space="0" w:color="auto"/>
            </w:tcBorders>
            <w:noWrap/>
            <w:hideMark/>
          </w:tcPr>
          <w:p w14:paraId="52CC56D4" w14:textId="77777777" w:rsidR="0070405B" w:rsidRPr="007B2920" w:rsidRDefault="00670596" w:rsidP="007B2920">
            <w:pPr>
              <w:jc w:val="center"/>
            </w:pPr>
            <w:r w:rsidRPr="007B2920">
              <w:t>$15.66</w:t>
            </w:r>
          </w:p>
        </w:tc>
      </w:tr>
      <w:tr w:rsidR="00C208DC" w:rsidRPr="007B2920" w14:paraId="68EAFA91" w14:textId="77777777" w:rsidTr="00A348C1">
        <w:trPr>
          <w:trHeight w:val="265"/>
        </w:trPr>
        <w:tc>
          <w:tcPr>
            <w:tcW w:w="4953" w:type="dxa"/>
            <w:tcBorders>
              <w:top w:val="single" w:sz="4" w:space="0" w:color="auto"/>
              <w:bottom w:val="single" w:sz="4" w:space="0" w:color="auto"/>
              <w:right w:val="single" w:sz="4" w:space="0" w:color="auto"/>
            </w:tcBorders>
            <w:noWrap/>
            <w:hideMark/>
          </w:tcPr>
          <w:p w14:paraId="22236AF7" w14:textId="77777777" w:rsidR="0070405B" w:rsidRPr="007B2920" w:rsidRDefault="00670596" w:rsidP="007B2920">
            <w:pPr>
              <w:jc w:val="center"/>
            </w:pPr>
            <w:r w:rsidRPr="007B2920">
              <w:t>Monday, February 12, 2018</w:t>
            </w:r>
          </w:p>
        </w:tc>
        <w:tc>
          <w:tcPr>
            <w:tcW w:w="4397" w:type="dxa"/>
            <w:tcBorders>
              <w:top w:val="single" w:sz="4" w:space="0" w:color="auto"/>
              <w:left w:val="single" w:sz="4" w:space="0" w:color="auto"/>
              <w:bottom w:val="single" w:sz="4" w:space="0" w:color="auto"/>
            </w:tcBorders>
            <w:noWrap/>
            <w:hideMark/>
          </w:tcPr>
          <w:p w14:paraId="43CB4A37" w14:textId="77777777" w:rsidR="0070405B" w:rsidRPr="007B2920" w:rsidRDefault="00670596" w:rsidP="007B2920">
            <w:pPr>
              <w:jc w:val="center"/>
            </w:pPr>
            <w:r w:rsidRPr="007B2920">
              <w:t>$15.60</w:t>
            </w:r>
          </w:p>
        </w:tc>
      </w:tr>
      <w:tr w:rsidR="00C208DC" w:rsidRPr="007B2920" w14:paraId="57014EBA" w14:textId="77777777" w:rsidTr="00A348C1">
        <w:trPr>
          <w:trHeight w:val="265"/>
        </w:trPr>
        <w:tc>
          <w:tcPr>
            <w:tcW w:w="4953" w:type="dxa"/>
            <w:tcBorders>
              <w:top w:val="single" w:sz="4" w:space="0" w:color="auto"/>
              <w:bottom w:val="single" w:sz="4" w:space="0" w:color="auto"/>
              <w:right w:val="single" w:sz="4" w:space="0" w:color="auto"/>
            </w:tcBorders>
            <w:noWrap/>
            <w:hideMark/>
          </w:tcPr>
          <w:p w14:paraId="199B7DAC" w14:textId="77777777" w:rsidR="0070405B" w:rsidRPr="007B2920" w:rsidRDefault="00670596" w:rsidP="007B2920">
            <w:pPr>
              <w:jc w:val="center"/>
            </w:pPr>
            <w:r w:rsidRPr="007B2920">
              <w:t>Tuesday, February 13, 2018</w:t>
            </w:r>
          </w:p>
        </w:tc>
        <w:tc>
          <w:tcPr>
            <w:tcW w:w="4397" w:type="dxa"/>
            <w:tcBorders>
              <w:top w:val="single" w:sz="4" w:space="0" w:color="auto"/>
              <w:left w:val="single" w:sz="4" w:space="0" w:color="auto"/>
              <w:bottom w:val="single" w:sz="4" w:space="0" w:color="auto"/>
            </w:tcBorders>
            <w:noWrap/>
            <w:hideMark/>
          </w:tcPr>
          <w:p w14:paraId="7D30DFA9" w14:textId="77777777" w:rsidR="0070405B" w:rsidRPr="007B2920" w:rsidRDefault="00670596" w:rsidP="007B2920">
            <w:pPr>
              <w:jc w:val="center"/>
            </w:pPr>
            <w:r w:rsidRPr="007B2920">
              <w:t>$15.54</w:t>
            </w:r>
          </w:p>
        </w:tc>
      </w:tr>
      <w:tr w:rsidR="00C208DC" w:rsidRPr="007B2920" w14:paraId="23366315" w14:textId="77777777" w:rsidTr="00A348C1">
        <w:trPr>
          <w:trHeight w:val="265"/>
        </w:trPr>
        <w:tc>
          <w:tcPr>
            <w:tcW w:w="4953" w:type="dxa"/>
            <w:tcBorders>
              <w:top w:val="single" w:sz="4" w:space="0" w:color="auto"/>
              <w:bottom w:val="single" w:sz="4" w:space="0" w:color="auto"/>
              <w:right w:val="single" w:sz="4" w:space="0" w:color="auto"/>
            </w:tcBorders>
            <w:noWrap/>
            <w:hideMark/>
          </w:tcPr>
          <w:p w14:paraId="68362AFB" w14:textId="77777777" w:rsidR="0070405B" w:rsidRPr="007B2920" w:rsidRDefault="00670596" w:rsidP="007B2920">
            <w:pPr>
              <w:jc w:val="center"/>
            </w:pPr>
            <w:r w:rsidRPr="007B2920">
              <w:t>Wednesday, February 14, 2018</w:t>
            </w:r>
          </w:p>
        </w:tc>
        <w:tc>
          <w:tcPr>
            <w:tcW w:w="4397" w:type="dxa"/>
            <w:tcBorders>
              <w:top w:val="single" w:sz="4" w:space="0" w:color="auto"/>
              <w:left w:val="single" w:sz="4" w:space="0" w:color="auto"/>
              <w:bottom w:val="single" w:sz="4" w:space="0" w:color="auto"/>
            </w:tcBorders>
            <w:noWrap/>
            <w:hideMark/>
          </w:tcPr>
          <w:p w14:paraId="011BD13B" w14:textId="77777777" w:rsidR="0070405B" w:rsidRPr="007B2920" w:rsidRDefault="00670596" w:rsidP="007B2920">
            <w:pPr>
              <w:jc w:val="center"/>
            </w:pPr>
            <w:r w:rsidRPr="007B2920">
              <w:t>$15.50</w:t>
            </w:r>
          </w:p>
        </w:tc>
      </w:tr>
      <w:tr w:rsidR="00C208DC" w:rsidRPr="007B2920" w14:paraId="41D0BF0B" w14:textId="77777777" w:rsidTr="00A348C1">
        <w:trPr>
          <w:trHeight w:val="265"/>
        </w:trPr>
        <w:tc>
          <w:tcPr>
            <w:tcW w:w="4953" w:type="dxa"/>
            <w:tcBorders>
              <w:top w:val="single" w:sz="4" w:space="0" w:color="auto"/>
              <w:bottom w:val="single" w:sz="4" w:space="0" w:color="auto"/>
              <w:right w:val="single" w:sz="4" w:space="0" w:color="auto"/>
            </w:tcBorders>
            <w:noWrap/>
            <w:hideMark/>
          </w:tcPr>
          <w:p w14:paraId="7883DB44" w14:textId="77777777" w:rsidR="0070405B" w:rsidRPr="007B2920" w:rsidRDefault="00670596" w:rsidP="007B2920">
            <w:pPr>
              <w:jc w:val="center"/>
            </w:pPr>
            <w:r w:rsidRPr="007B2920">
              <w:t>Thursday, February 15, 2018</w:t>
            </w:r>
          </w:p>
        </w:tc>
        <w:tc>
          <w:tcPr>
            <w:tcW w:w="4397" w:type="dxa"/>
            <w:tcBorders>
              <w:top w:val="single" w:sz="4" w:space="0" w:color="auto"/>
              <w:left w:val="single" w:sz="4" w:space="0" w:color="auto"/>
              <w:bottom w:val="single" w:sz="4" w:space="0" w:color="auto"/>
            </w:tcBorders>
            <w:noWrap/>
            <w:hideMark/>
          </w:tcPr>
          <w:p w14:paraId="757FC5B6" w14:textId="77777777" w:rsidR="0070405B" w:rsidRPr="007B2920" w:rsidRDefault="00670596" w:rsidP="007B2920">
            <w:pPr>
              <w:jc w:val="center"/>
            </w:pPr>
            <w:r w:rsidRPr="007B2920">
              <w:t>$15.46</w:t>
            </w:r>
          </w:p>
        </w:tc>
      </w:tr>
      <w:tr w:rsidR="00C208DC" w:rsidRPr="007B2920" w14:paraId="59C06865" w14:textId="77777777" w:rsidTr="00A348C1">
        <w:trPr>
          <w:trHeight w:val="265"/>
        </w:trPr>
        <w:tc>
          <w:tcPr>
            <w:tcW w:w="4953" w:type="dxa"/>
            <w:tcBorders>
              <w:top w:val="single" w:sz="4" w:space="0" w:color="auto"/>
              <w:bottom w:val="single" w:sz="4" w:space="0" w:color="auto"/>
              <w:right w:val="single" w:sz="4" w:space="0" w:color="auto"/>
            </w:tcBorders>
            <w:noWrap/>
            <w:hideMark/>
          </w:tcPr>
          <w:p w14:paraId="003DE071" w14:textId="77777777" w:rsidR="0070405B" w:rsidRPr="007B2920" w:rsidRDefault="00670596" w:rsidP="007B2920">
            <w:pPr>
              <w:jc w:val="center"/>
            </w:pPr>
            <w:r w:rsidRPr="007B2920">
              <w:t>Friday, February 16, 2018</w:t>
            </w:r>
          </w:p>
        </w:tc>
        <w:tc>
          <w:tcPr>
            <w:tcW w:w="4397" w:type="dxa"/>
            <w:tcBorders>
              <w:top w:val="single" w:sz="4" w:space="0" w:color="auto"/>
              <w:left w:val="single" w:sz="4" w:space="0" w:color="auto"/>
              <w:bottom w:val="single" w:sz="4" w:space="0" w:color="auto"/>
            </w:tcBorders>
            <w:noWrap/>
            <w:hideMark/>
          </w:tcPr>
          <w:p w14:paraId="60D8018D" w14:textId="77777777" w:rsidR="0070405B" w:rsidRPr="007B2920" w:rsidRDefault="00670596" w:rsidP="007B2920">
            <w:pPr>
              <w:jc w:val="center"/>
            </w:pPr>
            <w:r w:rsidRPr="007B2920">
              <w:t>$15.44</w:t>
            </w:r>
          </w:p>
        </w:tc>
      </w:tr>
      <w:tr w:rsidR="00C208DC" w:rsidRPr="007B2920" w14:paraId="34B72B20" w14:textId="77777777" w:rsidTr="00A348C1">
        <w:trPr>
          <w:trHeight w:val="265"/>
        </w:trPr>
        <w:tc>
          <w:tcPr>
            <w:tcW w:w="4953" w:type="dxa"/>
            <w:tcBorders>
              <w:top w:val="single" w:sz="4" w:space="0" w:color="auto"/>
              <w:bottom w:val="single" w:sz="4" w:space="0" w:color="auto"/>
              <w:right w:val="single" w:sz="4" w:space="0" w:color="auto"/>
            </w:tcBorders>
            <w:noWrap/>
            <w:hideMark/>
          </w:tcPr>
          <w:p w14:paraId="4571E1AD" w14:textId="77777777" w:rsidR="0070405B" w:rsidRPr="007B2920" w:rsidRDefault="00670596" w:rsidP="007B2920">
            <w:pPr>
              <w:jc w:val="center"/>
            </w:pPr>
            <w:r w:rsidRPr="007B2920">
              <w:t>Tuesday, February 20, 2018</w:t>
            </w:r>
          </w:p>
        </w:tc>
        <w:tc>
          <w:tcPr>
            <w:tcW w:w="4397" w:type="dxa"/>
            <w:tcBorders>
              <w:top w:val="single" w:sz="4" w:space="0" w:color="auto"/>
              <w:left w:val="single" w:sz="4" w:space="0" w:color="auto"/>
              <w:bottom w:val="single" w:sz="4" w:space="0" w:color="auto"/>
            </w:tcBorders>
            <w:noWrap/>
            <w:hideMark/>
          </w:tcPr>
          <w:p w14:paraId="3CEB94C5" w14:textId="77777777" w:rsidR="0070405B" w:rsidRPr="007B2920" w:rsidRDefault="00670596" w:rsidP="007B2920">
            <w:pPr>
              <w:jc w:val="center"/>
            </w:pPr>
            <w:r w:rsidRPr="007B2920">
              <w:t>$15.40</w:t>
            </w:r>
          </w:p>
        </w:tc>
      </w:tr>
      <w:tr w:rsidR="00C208DC" w:rsidRPr="007B2920" w14:paraId="53D67184" w14:textId="77777777" w:rsidTr="00A348C1">
        <w:trPr>
          <w:trHeight w:val="265"/>
        </w:trPr>
        <w:tc>
          <w:tcPr>
            <w:tcW w:w="4953" w:type="dxa"/>
            <w:tcBorders>
              <w:top w:val="single" w:sz="4" w:space="0" w:color="auto"/>
              <w:bottom w:val="single" w:sz="4" w:space="0" w:color="auto"/>
              <w:right w:val="single" w:sz="4" w:space="0" w:color="auto"/>
            </w:tcBorders>
            <w:noWrap/>
            <w:hideMark/>
          </w:tcPr>
          <w:p w14:paraId="71FE3121" w14:textId="77777777" w:rsidR="0070405B" w:rsidRPr="007B2920" w:rsidRDefault="00670596" w:rsidP="007B2920">
            <w:pPr>
              <w:jc w:val="center"/>
            </w:pPr>
            <w:r w:rsidRPr="007B2920">
              <w:t>Wednesday, February 21, 2018</w:t>
            </w:r>
          </w:p>
        </w:tc>
        <w:tc>
          <w:tcPr>
            <w:tcW w:w="4397" w:type="dxa"/>
            <w:tcBorders>
              <w:top w:val="single" w:sz="4" w:space="0" w:color="auto"/>
              <w:left w:val="single" w:sz="4" w:space="0" w:color="auto"/>
              <w:bottom w:val="single" w:sz="4" w:space="0" w:color="auto"/>
            </w:tcBorders>
            <w:noWrap/>
            <w:hideMark/>
          </w:tcPr>
          <w:p w14:paraId="3FAFBC45" w14:textId="77777777" w:rsidR="0070405B" w:rsidRPr="007B2920" w:rsidRDefault="00670596" w:rsidP="007B2920">
            <w:pPr>
              <w:jc w:val="center"/>
            </w:pPr>
            <w:r w:rsidRPr="007B2920">
              <w:t>$15.36</w:t>
            </w:r>
          </w:p>
        </w:tc>
      </w:tr>
      <w:tr w:rsidR="00C208DC" w:rsidRPr="007B2920" w14:paraId="68DB4D4F" w14:textId="77777777" w:rsidTr="00A348C1">
        <w:trPr>
          <w:trHeight w:val="265"/>
        </w:trPr>
        <w:tc>
          <w:tcPr>
            <w:tcW w:w="4953" w:type="dxa"/>
            <w:tcBorders>
              <w:top w:val="single" w:sz="4" w:space="0" w:color="auto"/>
              <w:bottom w:val="single" w:sz="4" w:space="0" w:color="auto"/>
              <w:right w:val="single" w:sz="4" w:space="0" w:color="auto"/>
            </w:tcBorders>
            <w:noWrap/>
            <w:hideMark/>
          </w:tcPr>
          <w:p w14:paraId="64CDB59C" w14:textId="77777777" w:rsidR="0070405B" w:rsidRPr="007B2920" w:rsidRDefault="00670596" w:rsidP="007B2920">
            <w:pPr>
              <w:jc w:val="center"/>
            </w:pPr>
            <w:r w:rsidRPr="007B2920">
              <w:t>Thursday, February 22, 2018</w:t>
            </w:r>
          </w:p>
        </w:tc>
        <w:tc>
          <w:tcPr>
            <w:tcW w:w="4397" w:type="dxa"/>
            <w:tcBorders>
              <w:top w:val="single" w:sz="4" w:space="0" w:color="auto"/>
              <w:left w:val="single" w:sz="4" w:space="0" w:color="auto"/>
              <w:bottom w:val="single" w:sz="4" w:space="0" w:color="auto"/>
            </w:tcBorders>
            <w:noWrap/>
            <w:hideMark/>
          </w:tcPr>
          <w:p w14:paraId="42BD07A6" w14:textId="77777777" w:rsidR="0070405B" w:rsidRPr="007B2920" w:rsidRDefault="00670596" w:rsidP="007B2920">
            <w:pPr>
              <w:jc w:val="center"/>
            </w:pPr>
            <w:r w:rsidRPr="007B2920">
              <w:t>$15.32</w:t>
            </w:r>
          </w:p>
        </w:tc>
      </w:tr>
      <w:tr w:rsidR="00C208DC" w:rsidRPr="007B2920" w14:paraId="5177A36C" w14:textId="77777777" w:rsidTr="00A348C1">
        <w:trPr>
          <w:trHeight w:val="265"/>
        </w:trPr>
        <w:tc>
          <w:tcPr>
            <w:tcW w:w="4953" w:type="dxa"/>
            <w:tcBorders>
              <w:top w:val="single" w:sz="4" w:space="0" w:color="auto"/>
              <w:bottom w:val="single" w:sz="4" w:space="0" w:color="auto"/>
              <w:right w:val="single" w:sz="4" w:space="0" w:color="auto"/>
            </w:tcBorders>
            <w:noWrap/>
            <w:hideMark/>
          </w:tcPr>
          <w:p w14:paraId="4031C004" w14:textId="77777777" w:rsidR="0070405B" w:rsidRPr="007B2920" w:rsidRDefault="00670596" w:rsidP="007B2920">
            <w:pPr>
              <w:jc w:val="center"/>
            </w:pPr>
            <w:r w:rsidRPr="007B2920">
              <w:t>Friday, February 23, 2018</w:t>
            </w:r>
          </w:p>
        </w:tc>
        <w:tc>
          <w:tcPr>
            <w:tcW w:w="4397" w:type="dxa"/>
            <w:tcBorders>
              <w:top w:val="single" w:sz="4" w:space="0" w:color="auto"/>
              <w:left w:val="single" w:sz="4" w:space="0" w:color="auto"/>
              <w:bottom w:val="single" w:sz="4" w:space="0" w:color="auto"/>
            </w:tcBorders>
            <w:noWrap/>
            <w:hideMark/>
          </w:tcPr>
          <w:p w14:paraId="4FA03E02" w14:textId="77777777" w:rsidR="0070405B" w:rsidRPr="007B2920" w:rsidRDefault="00670596" w:rsidP="007B2920">
            <w:pPr>
              <w:jc w:val="center"/>
            </w:pPr>
            <w:r w:rsidRPr="007B2920">
              <w:t>$15.28</w:t>
            </w:r>
          </w:p>
        </w:tc>
      </w:tr>
      <w:tr w:rsidR="00C208DC" w:rsidRPr="007B2920" w14:paraId="6179A9C5" w14:textId="77777777" w:rsidTr="00A348C1">
        <w:trPr>
          <w:trHeight w:val="265"/>
        </w:trPr>
        <w:tc>
          <w:tcPr>
            <w:tcW w:w="4953" w:type="dxa"/>
            <w:tcBorders>
              <w:top w:val="single" w:sz="4" w:space="0" w:color="auto"/>
              <w:bottom w:val="single" w:sz="4" w:space="0" w:color="auto"/>
              <w:right w:val="single" w:sz="4" w:space="0" w:color="auto"/>
            </w:tcBorders>
            <w:noWrap/>
            <w:hideMark/>
          </w:tcPr>
          <w:p w14:paraId="75C5581F" w14:textId="77777777" w:rsidR="0070405B" w:rsidRPr="007B2920" w:rsidRDefault="00670596" w:rsidP="007B2920">
            <w:pPr>
              <w:jc w:val="center"/>
            </w:pPr>
            <w:r w:rsidRPr="007B2920">
              <w:t>Monday, February 26, 2018</w:t>
            </w:r>
          </w:p>
        </w:tc>
        <w:tc>
          <w:tcPr>
            <w:tcW w:w="4397" w:type="dxa"/>
            <w:tcBorders>
              <w:top w:val="single" w:sz="4" w:space="0" w:color="auto"/>
              <w:left w:val="single" w:sz="4" w:space="0" w:color="auto"/>
              <w:bottom w:val="single" w:sz="4" w:space="0" w:color="auto"/>
            </w:tcBorders>
            <w:noWrap/>
            <w:hideMark/>
          </w:tcPr>
          <w:p w14:paraId="2ED2A110" w14:textId="77777777" w:rsidR="0070405B" w:rsidRPr="007B2920" w:rsidRDefault="00670596" w:rsidP="007B2920">
            <w:pPr>
              <w:jc w:val="center"/>
            </w:pPr>
            <w:r w:rsidRPr="007B2920">
              <w:t>$15.26</w:t>
            </w:r>
          </w:p>
        </w:tc>
      </w:tr>
      <w:tr w:rsidR="00C208DC" w:rsidRPr="007B2920" w14:paraId="6B766FC3" w14:textId="77777777" w:rsidTr="00A348C1">
        <w:trPr>
          <w:trHeight w:val="265"/>
        </w:trPr>
        <w:tc>
          <w:tcPr>
            <w:tcW w:w="4953" w:type="dxa"/>
            <w:tcBorders>
              <w:top w:val="single" w:sz="4" w:space="0" w:color="auto"/>
              <w:bottom w:val="single" w:sz="4" w:space="0" w:color="auto"/>
              <w:right w:val="single" w:sz="4" w:space="0" w:color="auto"/>
            </w:tcBorders>
            <w:noWrap/>
            <w:hideMark/>
          </w:tcPr>
          <w:p w14:paraId="1372C4EF" w14:textId="77777777" w:rsidR="0070405B" w:rsidRPr="007B2920" w:rsidRDefault="00670596" w:rsidP="007B2920">
            <w:pPr>
              <w:jc w:val="center"/>
            </w:pPr>
            <w:r w:rsidRPr="007B2920">
              <w:t>Tuesday, February 27, 2018</w:t>
            </w:r>
          </w:p>
        </w:tc>
        <w:tc>
          <w:tcPr>
            <w:tcW w:w="4397" w:type="dxa"/>
            <w:tcBorders>
              <w:top w:val="single" w:sz="4" w:space="0" w:color="auto"/>
              <w:left w:val="single" w:sz="4" w:space="0" w:color="auto"/>
              <w:bottom w:val="single" w:sz="4" w:space="0" w:color="auto"/>
            </w:tcBorders>
            <w:noWrap/>
            <w:hideMark/>
          </w:tcPr>
          <w:p w14:paraId="34F9BA8C" w14:textId="77777777" w:rsidR="0070405B" w:rsidRPr="007B2920" w:rsidRDefault="00670596" w:rsidP="007B2920">
            <w:pPr>
              <w:jc w:val="center"/>
            </w:pPr>
            <w:r w:rsidRPr="007B2920">
              <w:t>$15.23</w:t>
            </w:r>
          </w:p>
        </w:tc>
      </w:tr>
      <w:tr w:rsidR="00C208DC" w:rsidRPr="007B2920" w14:paraId="0856DD81" w14:textId="77777777" w:rsidTr="00A348C1">
        <w:trPr>
          <w:trHeight w:val="265"/>
        </w:trPr>
        <w:tc>
          <w:tcPr>
            <w:tcW w:w="4953" w:type="dxa"/>
            <w:tcBorders>
              <w:top w:val="single" w:sz="4" w:space="0" w:color="auto"/>
              <w:bottom w:val="single" w:sz="4" w:space="0" w:color="auto"/>
              <w:right w:val="single" w:sz="4" w:space="0" w:color="auto"/>
            </w:tcBorders>
            <w:noWrap/>
            <w:hideMark/>
          </w:tcPr>
          <w:p w14:paraId="39AA830D" w14:textId="77777777" w:rsidR="0070405B" w:rsidRPr="007B2920" w:rsidRDefault="00670596" w:rsidP="007B2920">
            <w:pPr>
              <w:jc w:val="center"/>
            </w:pPr>
            <w:r w:rsidRPr="007B2920">
              <w:t>Wednesday, February 28, 2018</w:t>
            </w:r>
          </w:p>
        </w:tc>
        <w:tc>
          <w:tcPr>
            <w:tcW w:w="4397" w:type="dxa"/>
            <w:tcBorders>
              <w:top w:val="single" w:sz="4" w:space="0" w:color="auto"/>
              <w:left w:val="single" w:sz="4" w:space="0" w:color="auto"/>
              <w:bottom w:val="single" w:sz="4" w:space="0" w:color="auto"/>
            </w:tcBorders>
            <w:noWrap/>
            <w:hideMark/>
          </w:tcPr>
          <w:p w14:paraId="5D726343" w14:textId="77777777" w:rsidR="0070405B" w:rsidRPr="007B2920" w:rsidRDefault="00670596" w:rsidP="007B2920">
            <w:pPr>
              <w:jc w:val="center"/>
            </w:pPr>
            <w:r w:rsidRPr="007B2920">
              <w:t>$15.18</w:t>
            </w:r>
          </w:p>
        </w:tc>
      </w:tr>
      <w:tr w:rsidR="00C208DC" w:rsidRPr="007B2920" w14:paraId="104329CA" w14:textId="77777777" w:rsidTr="00A348C1">
        <w:trPr>
          <w:trHeight w:val="265"/>
        </w:trPr>
        <w:tc>
          <w:tcPr>
            <w:tcW w:w="4953" w:type="dxa"/>
            <w:tcBorders>
              <w:top w:val="single" w:sz="4" w:space="0" w:color="auto"/>
              <w:bottom w:val="single" w:sz="4" w:space="0" w:color="auto"/>
              <w:right w:val="single" w:sz="4" w:space="0" w:color="auto"/>
            </w:tcBorders>
            <w:noWrap/>
            <w:hideMark/>
          </w:tcPr>
          <w:p w14:paraId="077C6161" w14:textId="77777777" w:rsidR="0070405B" w:rsidRPr="007B2920" w:rsidRDefault="00670596" w:rsidP="007B2920">
            <w:pPr>
              <w:jc w:val="center"/>
            </w:pPr>
            <w:r w:rsidRPr="007B2920">
              <w:t>Thursday, March 1, 2018</w:t>
            </w:r>
          </w:p>
        </w:tc>
        <w:tc>
          <w:tcPr>
            <w:tcW w:w="4397" w:type="dxa"/>
            <w:tcBorders>
              <w:top w:val="single" w:sz="4" w:space="0" w:color="auto"/>
              <w:left w:val="single" w:sz="4" w:space="0" w:color="auto"/>
              <w:bottom w:val="single" w:sz="4" w:space="0" w:color="auto"/>
            </w:tcBorders>
            <w:noWrap/>
            <w:hideMark/>
          </w:tcPr>
          <w:p w14:paraId="49B06C9A" w14:textId="77777777" w:rsidR="0070405B" w:rsidRPr="007B2920" w:rsidRDefault="00670596" w:rsidP="007B2920">
            <w:pPr>
              <w:jc w:val="center"/>
            </w:pPr>
            <w:r w:rsidRPr="007B2920">
              <w:t>$15.14</w:t>
            </w:r>
          </w:p>
        </w:tc>
      </w:tr>
      <w:tr w:rsidR="00C208DC" w:rsidRPr="007B2920" w14:paraId="7CCD1499" w14:textId="77777777" w:rsidTr="00A348C1">
        <w:trPr>
          <w:trHeight w:val="265"/>
        </w:trPr>
        <w:tc>
          <w:tcPr>
            <w:tcW w:w="4953" w:type="dxa"/>
            <w:tcBorders>
              <w:top w:val="single" w:sz="4" w:space="0" w:color="auto"/>
              <w:bottom w:val="single" w:sz="4" w:space="0" w:color="auto"/>
              <w:right w:val="single" w:sz="4" w:space="0" w:color="auto"/>
            </w:tcBorders>
            <w:noWrap/>
            <w:hideMark/>
          </w:tcPr>
          <w:p w14:paraId="7BA6D5B0" w14:textId="77777777" w:rsidR="0070405B" w:rsidRPr="007B2920" w:rsidRDefault="00670596" w:rsidP="007B2920">
            <w:pPr>
              <w:jc w:val="center"/>
            </w:pPr>
            <w:r w:rsidRPr="007B2920">
              <w:t>Friday, March 2, 2018</w:t>
            </w:r>
          </w:p>
        </w:tc>
        <w:tc>
          <w:tcPr>
            <w:tcW w:w="4397" w:type="dxa"/>
            <w:tcBorders>
              <w:top w:val="single" w:sz="4" w:space="0" w:color="auto"/>
              <w:left w:val="single" w:sz="4" w:space="0" w:color="auto"/>
              <w:bottom w:val="single" w:sz="4" w:space="0" w:color="auto"/>
            </w:tcBorders>
            <w:noWrap/>
            <w:hideMark/>
          </w:tcPr>
          <w:p w14:paraId="4A60C0B1" w14:textId="77777777" w:rsidR="0070405B" w:rsidRPr="007B2920" w:rsidRDefault="00670596" w:rsidP="007B2920">
            <w:pPr>
              <w:jc w:val="center"/>
            </w:pPr>
            <w:r w:rsidRPr="007B2920">
              <w:t>$15.10</w:t>
            </w:r>
          </w:p>
        </w:tc>
      </w:tr>
      <w:tr w:rsidR="00C208DC" w:rsidRPr="007B2920" w14:paraId="390EBD14" w14:textId="77777777" w:rsidTr="00A348C1">
        <w:trPr>
          <w:trHeight w:val="265"/>
        </w:trPr>
        <w:tc>
          <w:tcPr>
            <w:tcW w:w="4953" w:type="dxa"/>
            <w:tcBorders>
              <w:top w:val="single" w:sz="4" w:space="0" w:color="auto"/>
              <w:bottom w:val="single" w:sz="4" w:space="0" w:color="auto"/>
              <w:right w:val="single" w:sz="4" w:space="0" w:color="auto"/>
            </w:tcBorders>
            <w:noWrap/>
            <w:hideMark/>
          </w:tcPr>
          <w:p w14:paraId="629C2AAA" w14:textId="77777777" w:rsidR="0070405B" w:rsidRPr="007B2920" w:rsidRDefault="00670596" w:rsidP="007B2920">
            <w:pPr>
              <w:jc w:val="center"/>
            </w:pPr>
            <w:r w:rsidRPr="007B2920">
              <w:t>Monday, March 5, 2018</w:t>
            </w:r>
          </w:p>
        </w:tc>
        <w:tc>
          <w:tcPr>
            <w:tcW w:w="4397" w:type="dxa"/>
            <w:tcBorders>
              <w:top w:val="single" w:sz="4" w:space="0" w:color="auto"/>
              <w:left w:val="single" w:sz="4" w:space="0" w:color="auto"/>
              <w:bottom w:val="single" w:sz="4" w:space="0" w:color="auto"/>
            </w:tcBorders>
            <w:noWrap/>
            <w:hideMark/>
          </w:tcPr>
          <w:p w14:paraId="1C1DA9FB" w14:textId="77777777" w:rsidR="0070405B" w:rsidRPr="007B2920" w:rsidRDefault="00670596" w:rsidP="007B2920">
            <w:pPr>
              <w:jc w:val="center"/>
            </w:pPr>
            <w:r w:rsidRPr="007B2920">
              <w:t>$15.07</w:t>
            </w:r>
          </w:p>
        </w:tc>
      </w:tr>
      <w:tr w:rsidR="00C208DC" w:rsidRPr="007B2920" w14:paraId="5E30D3F9" w14:textId="77777777" w:rsidTr="00A348C1">
        <w:trPr>
          <w:trHeight w:val="265"/>
        </w:trPr>
        <w:tc>
          <w:tcPr>
            <w:tcW w:w="4953" w:type="dxa"/>
            <w:tcBorders>
              <w:top w:val="single" w:sz="4" w:space="0" w:color="auto"/>
              <w:bottom w:val="single" w:sz="4" w:space="0" w:color="auto"/>
              <w:right w:val="single" w:sz="4" w:space="0" w:color="auto"/>
            </w:tcBorders>
            <w:noWrap/>
            <w:hideMark/>
          </w:tcPr>
          <w:p w14:paraId="05787944" w14:textId="77777777" w:rsidR="0070405B" w:rsidRPr="007B2920" w:rsidRDefault="00670596" w:rsidP="007B2920">
            <w:pPr>
              <w:jc w:val="center"/>
            </w:pPr>
            <w:r w:rsidRPr="007B2920">
              <w:t>Tuesday, March 6, 2018</w:t>
            </w:r>
          </w:p>
        </w:tc>
        <w:tc>
          <w:tcPr>
            <w:tcW w:w="4397" w:type="dxa"/>
            <w:tcBorders>
              <w:top w:val="single" w:sz="4" w:space="0" w:color="auto"/>
              <w:left w:val="single" w:sz="4" w:space="0" w:color="auto"/>
              <w:bottom w:val="single" w:sz="4" w:space="0" w:color="auto"/>
            </w:tcBorders>
            <w:noWrap/>
            <w:hideMark/>
          </w:tcPr>
          <w:p w14:paraId="79D0E6BD" w14:textId="77777777" w:rsidR="0070405B" w:rsidRPr="007B2920" w:rsidRDefault="00670596" w:rsidP="007B2920">
            <w:pPr>
              <w:jc w:val="center"/>
            </w:pPr>
            <w:r w:rsidRPr="007B2920">
              <w:t>$15.06</w:t>
            </w:r>
          </w:p>
        </w:tc>
      </w:tr>
      <w:tr w:rsidR="00C208DC" w:rsidRPr="007B2920" w14:paraId="45F5CEEE" w14:textId="77777777" w:rsidTr="00A348C1">
        <w:trPr>
          <w:trHeight w:val="265"/>
        </w:trPr>
        <w:tc>
          <w:tcPr>
            <w:tcW w:w="4953" w:type="dxa"/>
            <w:tcBorders>
              <w:top w:val="single" w:sz="4" w:space="0" w:color="auto"/>
              <w:bottom w:val="single" w:sz="4" w:space="0" w:color="auto"/>
              <w:right w:val="single" w:sz="4" w:space="0" w:color="auto"/>
            </w:tcBorders>
            <w:noWrap/>
            <w:hideMark/>
          </w:tcPr>
          <w:p w14:paraId="1240E647" w14:textId="77777777" w:rsidR="0070405B" w:rsidRPr="007B2920" w:rsidRDefault="00670596" w:rsidP="007B2920">
            <w:pPr>
              <w:jc w:val="center"/>
            </w:pPr>
            <w:r w:rsidRPr="007B2920">
              <w:t>Wednesday, March 7, 2018</w:t>
            </w:r>
          </w:p>
        </w:tc>
        <w:tc>
          <w:tcPr>
            <w:tcW w:w="4397" w:type="dxa"/>
            <w:tcBorders>
              <w:top w:val="single" w:sz="4" w:space="0" w:color="auto"/>
              <w:left w:val="single" w:sz="4" w:space="0" w:color="auto"/>
              <w:bottom w:val="single" w:sz="4" w:space="0" w:color="auto"/>
            </w:tcBorders>
            <w:noWrap/>
            <w:hideMark/>
          </w:tcPr>
          <w:p w14:paraId="5ECEFE12" w14:textId="77777777" w:rsidR="0070405B" w:rsidRPr="007B2920" w:rsidRDefault="00670596" w:rsidP="007B2920">
            <w:pPr>
              <w:jc w:val="center"/>
            </w:pPr>
            <w:r w:rsidRPr="007B2920">
              <w:t>$15.04</w:t>
            </w:r>
          </w:p>
        </w:tc>
      </w:tr>
      <w:tr w:rsidR="00C208DC" w:rsidRPr="007B2920" w14:paraId="1A92B62C" w14:textId="77777777" w:rsidTr="00A348C1">
        <w:trPr>
          <w:trHeight w:val="265"/>
        </w:trPr>
        <w:tc>
          <w:tcPr>
            <w:tcW w:w="4953" w:type="dxa"/>
            <w:tcBorders>
              <w:top w:val="single" w:sz="4" w:space="0" w:color="auto"/>
              <w:bottom w:val="single" w:sz="4" w:space="0" w:color="auto"/>
              <w:right w:val="single" w:sz="4" w:space="0" w:color="auto"/>
            </w:tcBorders>
            <w:noWrap/>
            <w:hideMark/>
          </w:tcPr>
          <w:p w14:paraId="02106ADD" w14:textId="77777777" w:rsidR="0070405B" w:rsidRPr="007B2920" w:rsidRDefault="00670596" w:rsidP="007B2920">
            <w:pPr>
              <w:jc w:val="center"/>
            </w:pPr>
            <w:r w:rsidRPr="007B2920">
              <w:t>Thursday, March 8, 2018</w:t>
            </w:r>
          </w:p>
        </w:tc>
        <w:tc>
          <w:tcPr>
            <w:tcW w:w="4397" w:type="dxa"/>
            <w:tcBorders>
              <w:top w:val="single" w:sz="4" w:space="0" w:color="auto"/>
              <w:left w:val="single" w:sz="4" w:space="0" w:color="auto"/>
              <w:bottom w:val="single" w:sz="4" w:space="0" w:color="auto"/>
            </w:tcBorders>
            <w:noWrap/>
            <w:hideMark/>
          </w:tcPr>
          <w:p w14:paraId="4AE05110" w14:textId="77777777" w:rsidR="0070405B" w:rsidRPr="007B2920" w:rsidRDefault="00670596" w:rsidP="007B2920">
            <w:pPr>
              <w:jc w:val="center"/>
            </w:pPr>
            <w:r w:rsidRPr="007B2920">
              <w:t>$15.02</w:t>
            </w:r>
          </w:p>
        </w:tc>
      </w:tr>
      <w:tr w:rsidR="00C208DC" w:rsidRPr="007B2920" w14:paraId="74DED90B" w14:textId="77777777" w:rsidTr="00A348C1">
        <w:trPr>
          <w:trHeight w:val="265"/>
        </w:trPr>
        <w:tc>
          <w:tcPr>
            <w:tcW w:w="4953" w:type="dxa"/>
            <w:tcBorders>
              <w:top w:val="single" w:sz="4" w:space="0" w:color="auto"/>
              <w:bottom w:val="single" w:sz="4" w:space="0" w:color="auto"/>
              <w:right w:val="single" w:sz="4" w:space="0" w:color="auto"/>
            </w:tcBorders>
            <w:noWrap/>
            <w:hideMark/>
          </w:tcPr>
          <w:p w14:paraId="09637AEC" w14:textId="77777777" w:rsidR="0070405B" w:rsidRPr="007B2920" w:rsidRDefault="00670596" w:rsidP="007B2920">
            <w:pPr>
              <w:jc w:val="center"/>
            </w:pPr>
            <w:r w:rsidRPr="007B2920">
              <w:t>Friday, March 9, 2018</w:t>
            </w:r>
          </w:p>
        </w:tc>
        <w:tc>
          <w:tcPr>
            <w:tcW w:w="4397" w:type="dxa"/>
            <w:tcBorders>
              <w:top w:val="single" w:sz="4" w:space="0" w:color="auto"/>
              <w:left w:val="single" w:sz="4" w:space="0" w:color="auto"/>
              <w:bottom w:val="single" w:sz="4" w:space="0" w:color="auto"/>
            </w:tcBorders>
            <w:noWrap/>
            <w:hideMark/>
          </w:tcPr>
          <w:p w14:paraId="486F6768" w14:textId="77777777" w:rsidR="0070405B" w:rsidRPr="007B2920" w:rsidRDefault="00670596" w:rsidP="007B2920">
            <w:pPr>
              <w:jc w:val="center"/>
            </w:pPr>
            <w:r w:rsidRPr="007B2920">
              <w:t>$15.02</w:t>
            </w:r>
          </w:p>
        </w:tc>
      </w:tr>
      <w:tr w:rsidR="00C208DC" w:rsidRPr="007B2920" w14:paraId="19210452" w14:textId="77777777" w:rsidTr="00A348C1">
        <w:trPr>
          <w:trHeight w:val="265"/>
        </w:trPr>
        <w:tc>
          <w:tcPr>
            <w:tcW w:w="4953" w:type="dxa"/>
            <w:tcBorders>
              <w:top w:val="single" w:sz="4" w:space="0" w:color="auto"/>
              <w:bottom w:val="single" w:sz="4" w:space="0" w:color="auto"/>
              <w:right w:val="single" w:sz="4" w:space="0" w:color="auto"/>
            </w:tcBorders>
            <w:noWrap/>
            <w:hideMark/>
          </w:tcPr>
          <w:p w14:paraId="24397A27" w14:textId="77777777" w:rsidR="0070405B" w:rsidRPr="007B2920" w:rsidRDefault="00670596" w:rsidP="007B2920">
            <w:pPr>
              <w:jc w:val="center"/>
            </w:pPr>
            <w:r w:rsidRPr="007B2920">
              <w:t>Monday, March 12, 2018</w:t>
            </w:r>
          </w:p>
        </w:tc>
        <w:tc>
          <w:tcPr>
            <w:tcW w:w="4397" w:type="dxa"/>
            <w:tcBorders>
              <w:top w:val="single" w:sz="4" w:space="0" w:color="auto"/>
              <w:left w:val="single" w:sz="4" w:space="0" w:color="auto"/>
              <w:bottom w:val="single" w:sz="4" w:space="0" w:color="auto"/>
            </w:tcBorders>
            <w:noWrap/>
            <w:hideMark/>
          </w:tcPr>
          <w:p w14:paraId="4C0FE716" w14:textId="77777777" w:rsidR="0070405B" w:rsidRPr="007B2920" w:rsidRDefault="00670596" w:rsidP="007B2920">
            <w:pPr>
              <w:jc w:val="center"/>
            </w:pPr>
            <w:r w:rsidRPr="007B2920">
              <w:t>$15.02</w:t>
            </w:r>
          </w:p>
        </w:tc>
      </w:tr>
      <w:tr w:rsidR="00C208DC" w:rsidRPr="007B2920" w14:paraId="5DBFA5E6" w14:textId="77777777" w:rsidTr="00A348C1">
        <w:trPr>
          <w:trHeight w:val="265"/>
        </w:trPr>
        <w:tc>
          <w:tcPr>
            <w:tcW w:w="4953" w:type="dxa"/>
            <w:tcBorders>
              <w:top w:val="single" w:sz="4" w:space="0" w:color="auto"/>
              <w:bottom w:val="single" w:sz="4" w:space="0" w:color="auto"/>
              <w:right w:val="single" w:sz="4" w:space="0" w:color="auto"/>
            </w:tcBorders>
            <w:noWrap/>
            <w:hideMark/>
          </w:tcPr>
          <w:p w14:paraId="22AF82A6" w14:textId="77777777" w:rsidR="0070405B" w:rsidRPr="007B2920" w:rsidRDefault="00670596" w:rsidP="007B2920">
            <w:pPr>
              <w:jc w:val="center"/>
            </w:pPr>
            <w:r w:rsidRPr="007B2920">
              <w:t>Tuesday, March 13, 2018</w:t>
            </w:r>
          </w:p>
        </w:tc>
        <w:tc>
          <w:tcPr>
            <w:tcW w:w="4397" w:type="dxa"/>
            <w:tcBorders>
              <w:top w:val="single" w:sz="4" w:space="0" w:color="auto"/>
              <w:left w:val="single" w:sz="4" w:space="0" w:color="auto"/>
              <w:bottom w:val="single" w:sz="4" w:space="0" w:color="auto"/>
            </w:tcBorders>
            <w:noWrap/>
            <w:hideMark/>
          </w:tcPr>
          <w:p w14:paraId="4233F15F" w14:textId="77777777" w:rsidR="0070405B" w:rsidRPr="007B2920" w:rsidRDefault="00670596" w:rsidP="007B2920">
            <w:pPr>
              <w:jc w:val="center"/>
            </w:pPr>
            <w:r w:rsidRPr="007B2920">
              <w:t>$15.01</w:t>
            </w:r>
          </w:p>
        </w:tc>
      </w:tr>
      <w:tr w:rsidR="00C208DC" w:rsidRPr="007B2920" w14:paraId="2DDA6341" w14:textId="77777777" w:rsidTr="00A348C1">
        <w:trPr>
          <w:trHeight w:val="265"/>
        </w:trPr>
        <w:tc>
          <w:tcPr>
            <w:tcW w:w="4953" w:type="dxa"/>
            <w:tcBorders>
              <w:top w:val="single" w:sz="4" w:space="0" w:color="auto"/>
              <w:bottom w:val="single" w:sz="4" w:space="0" w:color="auto"/>
              <w:right w:val="single" w:sz="4" w:space="0" w:color="auto"/>
            </w:tcBorders>
            <w:noWrap/>
            <w:hideMark/>
          </w:tcPr>
          <w:p w14:paraId="1C4C40F9" w14:textId="77777777" w:rsidR="0070405B" w:rsidRPr="007B2920" w:rsidRDefault="00670596" w:rsidP="007B2920">
            <w:pPr>
              <w:jc w:val="center"/>
            </w:pPr>
            <w:r w:rsidRPr="007B2920">
              <w:t>Wednesday, March 14, 2018</w:t>
            </w:r>
          </w:p>
        </w:tc>
        <w:tc>
          <w:tcPr>
            <w:tcW w:w="4397" w:type="dxa"/>
            <w:tcBorders>
              <w:top w:val="single" w:sz="4" w:space="0" w:color="auto"/>
              <w:left w:val="single" w:sz="4" w:space="0" w:color="auto"/>
              <w:bottom w:val="single" w:sz="4" w:space="0" w:color="auto"/>
            </w:tcBorders>
            <w:noWrap/>
            <w:hideMark/>
          </w:tcPr>
          <w:p w14:paraId="346550D2" w14:textId="77777777" w:rsidR="0070405B" w:rsidRPr="007B2920" w:rsidRDefault="00670596" w:rsidP="007B2920">
            <w:pPr>
              <w:jc w:val="center"/>
            </w:pPr>
            <w:r w:rsidRPr="007B2920">
              <w:t>$14.99</w:t>
            </w:r>
          </w:p>
        </w:tc>
      </w:tr>
      <w:tr w:rsidR="00C208DC" w:rsidRPr="007B2920" w14:paraId="76C6A148" w14:textId="77777777" w:rsidTr="00A348C1">
        <w:trPr>
          <w:trHeight w:val="265"/>
        </w:trPr>
        <w:tc>
          <w:tcPr>
            <w:tcW w:w="4953" w:type="dxa"/>
            <w:tcBorders>
              <w:top w:val="single" w:sz="4" w:space="0" w:color="auto"/>
              <w:bottom w:val="single" w:sz="4" w:space="0" w:color="auto"/>
              <w:right w:val="single" w:sz="4" w:space="0" w:color="auto"/>
            </w:tcBorders>
            <w:noWrap/>
            <w:hideMark/>
          </w:tcPr>
          <w:p w14:paraId="2E1E7BB9" w14:textId="77777777" w:rsidR="0070405B" w:rsidRPr="007B2920" w:rsidRDefault="00670596" w:rsidP="007B2920">
            <w:pPr>
              <w:jc w:val="center"/>
            </w:pPr>
            <w:r w:rsidRPr="007B2920">
              <w:t>Thursday, March 15, 2018</w:t>
            </w:r>
          </w:p>
        </w:tc>
        <w:tc>
          <w:tcPr>
            <w:tcW w:w="4397" w:type="dxa"/>
            <w:tcBorders>
              <w:top w:val="single" w:sz="4" w:space="0" w:color="auto"/>
              <w:left w:val="single" w:sz="4" w:space="0" w:color="auto"/>
              <w:bottom w:val="single" w:sz="4" w:space="0" w:color="auto"/>
            </w:tcBorders>
            <w:noWrap/>
            <w:hideMark/>
          </w:tcPr>
          <w:p w14:paraId="627D2A24" w14:textId="77777777" w:rsidR="0070405B" w:rsidRPr="007B2920" w:rsidRDefault="00670596" w:rsidP="007B2920">
            <w:pPr>
              <w:jc w:val="center"/>
            </w:pPr>
            <w:r w:rsidRPr="007B2920">
              <w:t>$14.97</w:t>
            </w:r>
          </w:p>
        </w:tc>
      </w:tr>
      <w:tr w:rsidR="00C208DC" w:rsidRPr="007B2920" w14:paraId="13436F88" w14:textId="77777777" w:rsidTr="00A348C1">
        <w:trPr>
          <w:trHeight w:val="265"/>
        </w:trPr>
        <w:tc>
          <w:tcPr>
            <w:tcW w:w="4953" w:type="dxa"/>
            <w:tcBorders>
              <w:top w:val="single" w:sz="4" w:space="0" w:color="auto"/>
              <w:bottom w:val="single" w:sz="4" w:space="0" w:color="auto"/>
              <w:right w:val="single" w:sz="4" w:space="0" w:color="auto"/>
            </w:tcBorders>
            <w:noWrap/>
            <w:hideMark/>
          </w:tcPr>
          <w:p w14:paraId="3D26512D" w14:textId="77777777" w:rsidR="0070405B" w:rsidRPr="007B2920" w:rsidRDefault="00670596" w:rsidP="007B2920">
            <w:pPr>
              <w:jc w:val="center"/>
            </w:pPr>
            <w:r w:rsidRPr="007B2920">
              <w:t>Friday, March 16, 2018</w:t>
            </w:r>
          </w:p>
        </w:tc>
        <w:tc>
          <w:tcPr>
            <w:tcW w:w="4397" w:type="dxa"/>
            <w:tcBorders>
              <w:top w:val="single" w:sz="4" w:space="0" w:color="auto"/>
              <w:left w:val="single" w:sz="4" w:space="0" w:color="auto"/>
              <w:bottom w:val="single" w:sz="4" w:space="0" w:color="auto"/>
            </w:tcBorders>
            <w:noWrap/>
            <w:hideMark/>
          </w:tcPr>
          <w:p w14:paraId="0204F54E" w14:textId="77777777" w:rsidR="0070405B" w:rsidRPr="007B2920" w:rsidRDefault="00670596" w:rsidP="007B2920">
            <w:pPr>
              <w:jc w:val="center"/>
            </w:pPr>
            <w:r w:rsidRPr="007B2920">
              <w:t>$14.95</w:t>
            </w:r>
          </w:p>
        </w:tc>
      </w:tr>
      <w:tr w:rsidR="00C208DC" w:rsidRPr="007B2920" w14:paraId="0FC3F8F5" w14:textId="77777777" w:rsidTr="00A348C1">
        <w:trPr>
          <w:trHeight w:val="265"/>
        </w:trPr>
        <w:tc>
          <w:tcPr>
            <w:tcW w:w="4953" w:type="dxa"/>
            <w:tcBorders>
              <w:top w:val="single" w:sz="4" w:space="0" w:color="auto"/>
              <w:bottom w:val="single" w:sz="4" w:space="0" w:color="auto"/>
              <w:right w:val="single" w:sz="4" w:space="0" w:color="auto"/>
            </w:tcBorders>
            <w:noWrap/>
            <w:hideMark/>
          </w:tcPr>
          <w:p w14:paraId="1D1A5EBF" w14:textId="77777777" w:rsidR="0070405B" w:rsidRPr="007B2920" w:rsidRDefault="00670596" w:rsidP="007B2920">
            <w:pPr>
              <w:jc w:val="center"/>
            </w:pPr>
            <w:r w:rsidRPr="007B2920">
              <w:t>Monday, March 19, 2018</w:t>
            </w:r>
          </w:p>
        </w:tc>
        <w:tc>
          <w:tcPr>
            <w:tcW w:w="4397" w:type="dxa"/>
            <w:tcBorders>
              <w:top w:val="single" w:sz="4" w:space="0" w:color="auto"/>
              <w:left w:val="single" w:sz="4" w:space="0" w:color="auto"/>
              <w:bottom w:val="single" w:sz="4" w:space="0" w:color="auto"/>
            </w:tcBorders>
            <w:noWrap/>
            <w:hideMark/>
          </w:tcPr>
          <w:p w14:paraId="17B1818F" w14:textId="77777777" w:rsidR="0070405B" w:rsidRPr="007B2920" w:rsidRDefault="00670596" w:rsidP="007B2920">
            <w:pPr>
              <w:jc w:val="center"/>
            </w:pPr>
            <w:r w:rsidRPr="007B2920">
              <w:t>$14.93</w:t>
            </w:r>
          </w:p>
        </w:tc>
      </w:tr>
      <w:tr w:rsidR="00C208DC" w:rsidRPr="007B2920" w14:paraId="22DA7CEE" w14:textId="77777777" w:rsidTr="00A348C1">
        <w:trPr>
          <w:trHeight w:val="265"/>
        </w:trPr>
        <w:tc>
          <w:tcPr>
            <w:tcW w:w="4953" w:type="dxa"/>
            <w:tcBorders>
              <w:top w:val="single" w:sz="4" w:space="0" w:color="auto"/>
              <w:bottom w:val="single" w:sz="4" w:space="0" w:color="auto"/>
              <w:right w:val="single" w:sz="4" w:space="0" w:color="auto"/>
            </w:tcBorders>
            <w:noWrap/>
            <w:hideMark/>
          </w:tcPr>
          <w:p w14:paraId="6C3296B5" w14:textId="77777777" w:rsidR="0070405B" w:rsidRPr="007B2920" w:rsidRDefault="00670596" w:rsidP="007B2920">
            <w:pPr>
              <w:jc w:val="center"/>
            </w:pPr>
            <w:r w:rsidRPr="007B2920">
              <w:t>Tuesday, March 20, 2018</w:t>
            </w:r>
          </w:p>
        </w:tc>
        <w:tc>
          <w:tcPr>
            <w:tcW w:w="4397" w:type="dxa"/>
            <w:tcBorders>
              <w:top w:val="single" w:sz="4" w:space="0" w:color="auto"/>
              <w:left w:val="single" w:sz="4" w:space="0" w:color="auto"/>
              <w:bottom w:val="single" w:sz="4" w:space="0" w:color="auto"/>
            </w:tcBorders>
            <w:noWrap/>
            <w:hideMark/>
          </w:tcPr>
          <w:p w14:paraId="6BCC976F" w14:textId="77777777" w:rsidR="0070405B" w:rsidRPr="007B2920" w:rsidRDefault="00670596" w:rsidP="007B2920">
            <w:pPr>
              <w:jc w:val="center"/>
            </w:pPr>
            <w:r w:rsidRPr="007B2920">
              <w:t>$14.89</w:t>
            </w:r>
          </w:p>
        </w:tc>
      </w:tr>
      <w:tr w:rsidR="00C208DC" w:rsidRPr="007B2920" w14:paraId="54AC0F81" w14:textId="77777777" w:rsidTr="00A348C1">
        <w:trPr>
          <w:trHeight w:val="265"/>
        </w:trPr>
        <w:tc>
          <w:tcPr>
            <w:tcW w:w="4953" w:type="dxa"/>
            <w:tcBorders>
              <w:top w:val="single" w:sz="4" w:space="0" w:color="auto"/>
              <w:bottom w:val="single" w:sz="4" w:space="0" w:color="auto"/>
              <w:right w:val="single" w:sz="4" w:space="0" w:color="auto"/>
            </w:tcBorders>
            <w:noWrap/>
            <w:hideMark/>
          </w:tcPr>
          <w:p w14:paraId="32F776D3" w14:textId="77777777" w:rsidR="0070405B" w:rsidRPr="007B2920" w:rsidRDefault="00670596" w:rsidP="007B2920">
            <w:pPr>
              <w:jc w:val="center"/>
            </w:pPr>
            <w:r w:rsidRPr="007B2920">
              <w:t>Wednesday, March 21, 2018</w:t>
            </w:r>
          </w:p>
        </w:tc>
        <w:tc>
          <w:tcPr>
            <w:tcW w:w="4397" w:type="dxa"/>
            <w:tcBorders>
              <w:top w:val="single" w:sz="4" w:space="0" w:color="auto"/>
              <w:left w:val="single" w:sz="4" w:space="0" w:color="auto"/>
              <w:bottom w:val="single" w:sz="4" w:space="0" w:color="auto"/>
            </w:tcBorders>
            <w:noWrap/>
            <w:hideMark/>
          </w:tcPr>
          <w:p w14:paraId="5A96579D" w14:textId="77777777" w:rsidR="0070405B" w:rsidRPr="007B2920" w:rsidRDefault="00670596" w:rsidP="007B2920">
            <w:pPr>
              <w:jc w:val="center"/>
            </w:pPr>
            <w:r w:rsidRPr="007B2920">
              <w:t>$14.87</w:t>
            </w:r>
          </w:p>
        </w:tc>
      </w:tr>
      <w:tr w:rsidR="00C208DC" w:rsidRPr="007B2920" w14:paraId="540A3C19" w14:textId="77777777" w:rsidTr="00A348C1">
        <w:trPr>
          <w:trHeight w:val="265"/>
        </w:trPr>
        <w:tc>
          <w:tcPr>
            <w:tcW w:w="4953" w:type="dxa"/>
            <w:tcBorders>
              <w:top w:val="single" w:sz="4" w:space="0" w:color="auto"/>
              <w:bottom w:val="single" w:sz="4" w:space="0" w:color="auto"/>
              <w:right w:val="single" w:sz="4" w:space="0" w:color="auto"/>
            </w:tcBorders>
            <w:noWrap/>
            <w:hideMark/>
          </w:tcPr>
          <w:p w14:paraId="67DBB029" w14:textId="77777777" w:rsidR="0070405B" w:rsidRPr="007B2920" w:rsidRDefault="00670596" w:rsidP="007B2920">
            <w:pPr>
              <w:jc w:val="center"/>
            </w:pPr>
            <w:r w:rsidRPr="007B2920">
              <w:t>Thursday, March 22, 2018</w:t>
            </w:r>
          </w:p>
        </w:tc>
        <w:tc>
          <w:tcPr>
            <w:tcW w:w="4397" w:type="dxa"/>
            <w:tcBorders>
              <w:top w:val="single" w:sz="4" w:space="0" w:color="auto"/>
              <w:left w:val="single" w:sz="4" w:space="0" w:color="auto"/>
              <w:bottom w:val="single" w:sz="4" w:space="0" w:color="auto"/>
            </w:tcBorders>
            <w:noWrap/>
            <w:hideMark/>
          </w:tcPr>
          <w:p w14:paraId="72020F1A" w14:textId="77777777" w:rsidR="0070405B" w:rsidRPr="007B2920" w:rsidRDefault="00670596" w:rsidP="007B2920">
            <w:pPr>
              <w:jc w:val="center"/>
            </w:pPr>
            <w:r w:rsidRPr="007B2920">
              <w:t>$14.83</w:t>
            </w:r>
          </w:p>
        </w:tc>
      </w:tr>
      <w:tr w:rsidR="00C208DC" w:rsidRPr="007B2920" w14:paraId="5C6E1D5E" w14:textId="77777777" w:rsidTr="00A348C1">
        <w:trPr>
          <w:trHeight w:val="265"/>
        </w:trPr>
        <w:tc>
          <w:tcPr>
            <w:tcW w:w="4953" w:type="dxa"/>
            <w:tcBorders>
              <w:top w:val="single" w:sz="4" w:space="0" w:color="auto"/>
              <w:bottom w:val="single" w:sz="4" w:space="0" w:color="auto"/>
              <w:right w:val="single" w:sz="4" w:space="0" w:color="auto"/>
            </w:tcBorders>
            <w:noWrap/>
            <w:hideMark/>
          </w:tcPr>
          <w:p w14:paraId="27B07B67" w14:textId="77777777" w:rsidR="0070405B" w:rsidRPr="007B2920" w:rsidRDefault="00670596" w:rsidP="007B2920">
            <w:pPr>
              <w:jc w:val="center"/>
            </w:pPr>
            <w:r w:rsidRPr="007B2920">
              <w:t>Friday, March 23, 2018</w:t>
            </w:r>
          </w:p>
        </w:tc>
        <w:tc>
          <w:tcPr>
            <w:tcW w:w="4397" w:type="dxa"/>
            <w:tcBorders>
              <w:top w:val="single" w:sz="4" w:space="0" w:color="auto"/>
              <w:left w:val="single" w:sz="4" w:space="0" w:color="auto"/>
              <w:bottom w:val="single" w:sz="4" w:space="0" w:color="auto"/>
            </w:tcBorders>
            <w:noWrap/>
            <w:hideMark/>
          </w:tcPr>
          <w:p w14:paraId="387ADC9C" w14:textId="77777777" w:rsidR="0070405B" w:rsidRPr="007B2920" w:rsidRDefault="00670596" w:rsidP="007B2920">
            <w:pPr>
              <w:jc w:val="center"/>
            </w:pPr>
            <w:r w:rsidRPr="007B2920">
              <w:t>$14.79</w:t>
            </w:r>
          </w:p>
        </w:tc>
      </w:tr>
      <w:tr w:rsidR="00C208DC" w:rsidRPr="007B2920" w14:paraId="02051B6D" w14:textId="77777777" w:rsidTr="00A348C1">
        <w:trPr>
          <w:trHeight w:val="265"/>
        </w:trPr>
        <w:tc>
          <w:tcPr>
            <w:tcW w:w="4953" w:type="dxa"/>
            <w:tcBorders>
              <w:top w:val="single" w:sz="4" w:space="0" w:color="auto"/>
              <w:bottom w:val="single" w:sz="4" w:space="0" w:color="auto"/>
              <w:right w:val="single" w:sz="4" w:space="0" w:color="auto"/>
            </w:tcBorders>
            <w:noWrap/>
            <w:hideMark/>
          </w:tcPr>
          <w:p w14:paraId="0769910B" w14:textId="77777777" w:rsidR="0070405B" w:rsidRPr="007B2920" w:rsidRDefault="00670596" w:rsidP="007B2920">
            <w:pPr>
              <w:jc w:val="center"/>
            </w:pPr>
            <w:r w:rsidRPr="007B2920">
              <w:lastRenderedPageBreak/>
              <w:t>Monday, March 26, 2018</w:t>
            </w:r>
          </w:p>
        </w:tc>
        <w:tc>
          <w:tcPr>
            <w:tcW w:w="4397" w:type="dxa"/>
            <w:tcBorders>
              <w:top w:val="single" w:sz="4" w:space="0" w:color="auto"/>
              <w:left w:val="single" w:sz="4" w:space="0" w:color="auto"/>
              <w:bottom w:val="single" w:sz="4" w:space="0" w:color="auto"/>
            </w:tcBorders>
            <w:noWrap/>
            <w:hideMark/>
          </w:tcPr>
          <w:p w14:paraId="77EE0A11" w14:textId="77777777" w:rsidR="0070405B" w:rsidRPr="007B2920" w:rsidRDefault="00670596" w:rsidP="007B2920">
            <w:pPr>
              <w:jc w:val="center"/>
            </w:pPr>
            <w:r w:rsidRPr="007B2920">
              <w:t>$14.75</w:t>
            </w:r>
          </w:p>
        </w:tc>
      </w:tr>
      <w:tr w:rsidR="00C208DC" w:rsidRPr="007B2920" w14:paraId="4C9792FB" w14:textId="77777777" w:rsidTr="00A348C1">
        <w:trPr>
          <w:trHeight w:val="265"/>
        </w:trPr>
        <w:tc>
          <w:tcPr>
            <w:tcW w:w="4953" w:type="dxa"/>
            <w:tcBorders>
              <w:top w:val="single" w:sz="4" w:space="0" w:color="auto"/>
              <w:bottom w:val="single" w:sz="4" w:space="0" w:color="auto"/>
              <w:right w:val="single" w:sz="4" w:space="0" w:color="auto"/>
            </w:tcBorders>
            <w:noWrap/>
            <w:hideMark/>
          </w:tcPr>
          <w:p w14:paraId="18F9D1C8" w14:textId="77777777" w:rsidR="0070405B" w:rsidRPr="007B2920" w:rsidRDefault="00670596" w:rsidP="007B2920">
            <w:pPr>
              <w:jc w:val="center"/>
            </w:pPr>
            <w:r w:rsidRPr="007B2920">
              <w:t>Tuesday, March 27, 2018</w:t>
            </w:r>
          </w:p>
        </w:tc>
        <w:tc>
          <w:tcPr>
            <w:tcW w:w="4397" w:type="dxa"/>
            <w:tcBorders>
              <w:top w:val="single" w:sz="4" w:space="0" w:color="auto"/>
              <w:left w:val="single" w:sz="4" w:space="0" w:color="auto"/>
              <w:bottom w:val="single" w:sz="4" w:space="0" w:color="auto"/>
            </w:tcBorders>
            <w:noWrap/>
            <w:hideMark/>
          </w:tcPr>
          <w:p w14:paraId="42F1AD71" w14:textId="77777777" w:rsidR="0070405B" w:rsidRPr="007B2920" w:rsidRDefault="00670596" w:rsidP="007B2920">
            <w:pPr>
              <w:jc w:val="center"/>
            </w:pPr>
            <w:r w:rsidRPr="007B2920">
              <w:t>$14.72</w:t>
            </w:r>
          </w:p>
        </w:tc>
      </w:tr>
      <w:tr w:rsidR="00C208DC" w:rsidRPr="007B2920" w14:paraId="5A372CDA" w14:textId="77777777" w:rsidTr="00A348C1">
        <w:trPr>
          <w:trHeight w:val="265"/>
        </w:trPr>
        <w:tc>
          <w:tcPr>
            <w:tcW w:w="4953" w:type="dxa"/>
            <w:tcBorders>
              <w:top w:val="single" w:sz="4" w:space="0" w:color="auto"/>
              <w:bottom w:val="single" w:sz="4" w:space="0" w:color="auto"/>
              <w:right w:val="single" w:sz="4" w:space="0" w:color="auto"/>
            </w:tcBorders>
            <w:noWrap/>
            <w:hideMark/>
          </w:tcPr>
          <w:p w14:paraId="6DEE733C" w14:textId="77777777" w:rsidR="0070405B" w:rsidRPr="007B2920" w:rsidRDefault="00670596" w:rsidP="007B2920">
            <w:pPr>
              <w:jc w:val="center"/>
            </w:pPr>
            <w:r w:rsidRPr="007B2920">
              <w:t>Wednesday, March 28, 2018</w:t>
            </w:r>
          </w:p>
        </w:tc>
        <w:tc>
          <w:tcPr>
            <w:tcW w:w="4397" w:type="dxa"/>
            <w:tcBorders>
              <w:top w:val="single" w:sz="4" w:space="0" w:color="auto"/>
              <w:left w:val="single" w:sz="4" w:space="0" w:color="auto"/>
              <w:bottom w:val="single" w:sz="4" w:space="0" w:color="auto"/>
            </w:tcBorders>
            <w:noWrap/>
            <w:hideMark/>
          </w:tcPr>
          <w:p w14:paraId="6FC7ACA5" w14:textId="77777777" w:rsidR="0070405B" w:rsidRPr="007B2920" w:rsidRDefault="00670596" w:rsidP="007B2920">
            <w:pPr>
              <w:jc w:val="center"/>
            </w:pPr>
            <w:r w:rsidRPr="007B2920">
              <w:t>$14.69</w:t>
            </w:r>
          </w:p>
        </w:tc>
      </w:tr>
      <w:tr w:rsidR="00C208DC" w:rsidRPr="007B2920" w14:paraId="6D5CC311" w14:textId="77777777" w:rsidTr="00A348C1">
        <w:trPr>
          <w:trHeight w:val="265"/>
        </w:trPr>
        <w:tc>
          <w:tcPr>
            <w:tcW w:w="4953" w:type="dxa"/>
            <w:tcBorders>
              <w:top w:val="single" w:sz="4" w:space="0" w:color="auto"/>
              <w:bottom w:val="single" w:sz="4" w:space="0" w:color="auto"/>
              <w:right w:val="single" w:sz="4" w:space="0" w:color="auto"/>
            </w:tcBorders>
            <w:noWrap/>
            <w:hideMark/>
          </w:tcPr>
          <w:p w14:paraId="11C08B3A" w14:textId="77777777" w:rsidR="0070405B" w:rsidRPr="007B2920" w:rsidRDefault="00670596" w:rsidP="007B2920">
            <w:pPr>
              <w:jc w:val="center"/>
            </w:pPr>
            <w:r w:rsidRPr="007B2920">
              <w:t>Thursday, March 29, 2018</w:t>
            </w:r>
          </w:p>
        </w:tc>
        <w:tc>
          <w:tcPr>
            <w:tcW w:w="4397" w:type="dxa"/>
            <w:tcBorders>
              <w:top w:val="single" w:sz="4" w:space="0" w:color="auto"/>
              <w:left w:val="single" w:sz="4" w:space="0" w:color="auto"/>
              <w:bottom w:val="single" w:sz="4" w:space="0" w:color="auto"/>
            </w:tcBorders>
            <w:noWrap/>
            <w:hideMark/>
          </w:tcPr>
          <w:p w14:paraId="22A9F65B" w14:textId="77777777" w:rsidR="0070405B" w:rsidRPr="007B2920" w:rsidRDefault="00670596" w:rsidP="007B2920">
            <w:pPr>
              <w:jc w:val="center"/>
            </w:pPr>
            <w:r w:rsidRPr="007B2920">
              <w:t>$14.67</w:t>
            </w:r>
          </w:p>
        </w:tc>
      </w:tr>
      <w:tr w:rsidR="00C208DC" w:rsidRPr="007B2920" w14:paraId="1EC7919D" w14:textId="77777777" w:rsidTr="00A348C1">
        <w:trPr>
          <w:trHeight w:val="265"/>
        </w:trPr>
        <w:tc>
          <w:tcPr>
            <w:tcW w:w="4953" w:type="dxa"/>
            <w:tcBorders>
              <w:top w:val="single" w:sz="4" w:space="0" w:color="auto"/>
              <w:bottom w:val="single" w:sz="4" w:space="0" w:color="auto"/>
              <w:right w:val="single" w:sz="4" w:space="0" w:color="auto"/>
            </w:tcBorders>
            <w:noWrap/>
            <w:hideMark/>
          </w:tcPr>
          <w:p w14:paraId="1AB4645B" w14:textId="77777777" w:rsidR="0070405B" w:rsidRPr="007B2920" w:rsidRDefault="00670596" w:rsidP="007B2920">
            <w:pPr>
              <w:jc w:val="center"/>
            </w:pPr>
            <w:r w:rsidRPr="007B2920">
              <w:t>Monday, April 2, 2018</w:t>
            </w:r>
          </w:p>
        </w:tc>
        <w:tc>
          <w:tcPr>
            <w:tcW w:w="4397" w:type="dxa"/>
            <w:tcBorders>
              <w:top w:val="single" w:sz="4" w:space="0" w:color="auto"/>
              <w:left w:val="single" w:sz="4" w:space="0" w:color="auto"/>
              <w:bottom w:val="single" w:sz="4" w:space="0" w:color="auto"/>
            </w:tcBorders>
            <w:noWrap/>
            <w:hideMark/>
          </w:tcPr>
          <w:p w14:paraId="157AB03B" w14:textId="77777777" w:rsidR="0070405B" w:rsidRPr="007B2920" w:rsidRDefault="00670596" w:rsidP="007B2920">
            <w:pPr>
              <w:jc w:val="center"/>
            </w:pPr>
            <w:r w:rsidRPr="007B2920">
              <w:t>$14.63</w:t>
            </w:r>
          </w:p>
        </w:tc>
      </w:tr>
      <w:tr w:rsidR="00C208DC" w:rsidRPr="007B2920" w14:paraId="69769796" w14:textId="77777777" w:rsidTr="00A348C1">
        <w:trPr>
          <w:trHeight w:val="265"/>
        </w:trPr>
        <w:tc>
          <w:tcPr>
            <w:tcW w:w="4953" w:type="dxa"/>
            <w:tcBorders>
              <w:top w:val="single" w:sz="4" w:space="0" w:color="auto"/>
              <w:bottom w:val="single" w:sz="4" w:space="0" w:color="auto"/>
              <w:right w:val="single" w:sz="4" w:space="0" w:color="auto"/>
            </w:tcBorders>
            <w:noWrap/>
            <w:hideMark/>
          </w:tcPr>
          <w:p w14:paraId="692A0721" w14:textId="77777777" w:rsidR="0070405B" w:rsidRPr="007B2920" w:rsidRDefault="00670596" w:rsidP="007B2920">
            <w:pPr>
              <w:jc w:val="center"/>
            </w:pPr>
            <w:r w:rsidRPr="007B2920">
              <w:t>Tuesday, April 3, 2018</w:t>
            </w:r>
          </w:p>
        </w:tc>
        <w:tc>
          <w:tcPr>
            <w:tcW w:w="4397" w:type="dxa"/>
            <w:tcBorders>
              <w:top w:val="single" w:sz="4" w:space="0" w:color="auto"/>
              <w:left w:val="single" w:sz="4" w:space="0" w:color="auto"/>
              <w:bottom w:val="single" w:sz="4" w:space="0" w:color="auto"/>
            </w:tcBorders>
            <w:noWrap/>
            <w:hideMark/>
          </w:tcPr>
          <w:p w14:paraId="0C6067B1" w14:textId="77777777" w:rsidR="0070405B" w:rsidRPr="007B2920" w:rsidRDefault="00670596" w:rsidP="007B2920">
            <w:pPr>
              <w:jc w:val="center"/>
            </w:pPr>
            <w:r w:rsidRPr="007B2920">
              <w:t>$14.60</w:t>
            </w:r>
          </w:p>
        </w:tc>
      </w:tr>
      <w:tr w:rsidR="00C208DC" w:rsidRPr="007B2920" w14:paraId="75C7C7CC" w14:textId="77777777" w:rsidTr="00A348C1">
        <w:trPr>
          <w:trHeight w:val="265"/>
        </w:trPr>
        <w:tc>
          <w:tcPr>
            <w:tcW w:w="4953" w:type="dxa"/>
            <w:tcBorders>
              <w:top w:val="single" w:sz="4" w:space="0" w:color="auto"/>
              <w:bottom w:val="single" w:sz="4" w:space="0" w:color="auto"/>
              <w:right w:val="single" w:sz="4" w:space="0" w:color="auto"/>
            </w:tcBorders>
            <w:noWrap/>
            <w:hideMark/>
          </w:tcPr>
          <w:p w14:paraId="05A24EBB" w14:textId="77777777" w:rsidR="0070405B" w:rsidRPr="007B2920" w:rsidRDefault="00670596" w:rsidP="007B2920">
            <w:pPr>
              <w:jc w:val="center"/>
            </w:pPr>
            <w:r w:rsidRPr="007B2920">
              <w:t>Wednesday, April 4, 2018</w:t>
            </w:r>
          </w:p>
        </w:tc>
        <w:tc>
          <w:tcPr>
            <w:tcW w:w="4397" w:type="dxa"/>
            <w:tcBorders>
              <w:top w:val="single" w:sz="4" w:space="0" w:color="auto"/>
              <w:left w:val="single" w:sz="4" w:space="0" w:color="auto"/>
              <w:bottom w:val="single" w:sz="4" w:space="0" w:color="auto"/>
            </w:tcBorders>
            <w:noWrap/>
            <w:hideMark/>
          </w:tcPr>
          <w:p w14:paraId="3EB30B5D" w14:textId="77777777" w:rsidR="0070405B" w:rsidRPr="007B2920" w:rsidRDefault="00670596" w:rsidP="007B2920">
            <w:pPr>
              <w:jc w:val="center"/>
            </w:pPr>
            <w:r w:rsidRPr="007B2920">
              <w:t>$14.58</w:t>
            </w:r>
          </w:p>
        </w:tc>
      </w:tr>
      <w:tr w:rsidR="00C208DC" w:rsidRPr="007B2920" w14:paraId="6F6C945D" w14:textId="77777777" w:rsidTr="00A348C1">
        <w:trPr>
          <w:trHeight w:val="265"/>
        </w:trPr>
        <w:tc>
          <w:tcPr>
            <w:tcW w:w="4953" w:type="dxa"/>
            <w:tcBorders>
              <w:top w:val="single" w:sz="4" w:space="0" w:color="auto"/>
              <w:bottom w:val="single" w:sz="4" w:space="0" w:color="auto"/>
              <w:right w:val="single" w:sz="4" w:space="0" w:color="auto"/>
            </w:tcBorders>
            <w:noWrap/>
            <w:hideMark/>
          </w:tcPr>
          <w:p w14:paraId="0C48D539" w14:textId="77777777" w:rsidR="0070405B" w:rsidRPr="007B2920" w:rsidRDefault="00670596" w:rsidP="007B2920">
            <w:pPr>
              <w:jc w:val="center"/>
            </w:pPr>
            <w:r w:rsidRPr="007B2920">
              <w:t>Thursday, April 5, 2018</w:t>
            </w:r>
          </w:p>
        </w:tc>
        <w:tc>
          <w:tcPr>
            <w:tcW w:w="4397" w:type="dxa"/>
            <w:tcBorders>
              <w:top w:val="single" w:sz="4" w:space="0" w:color="auto"/>
              <w:left w:val="single" w:sz="4" w:space="0" w:color="auto"/>
              <w:bottom w:val="single" w:sz="4" w:space="0" w:color="auto"/>
            </w:tcBorders>
            <w:noWrap/>
            <w:hideMark/>
          </w:tcPr>
          <w:p w14:paraId="6128A5C6" w14:textId="77777777" w:rsidR="0070405B" w:rsidRPr="007B2920" w:rsidRDefault="00670596" w:rsidP="007B2920">
            <w:pPr>
              <w:jc w:val="center"/>
            </w:pPr>
            <w:r w:rsidRPr="007B2920">
              <w:t>$14.55</w:t>
            </w:r>
          </w:p>
        </w:tc>
      </w:tr>
      <w:tr w:rsidR="00C208DC" w:rsidRPr="007B2920" w14:paraId="77371568" w14:textId="77777777" w:rsidTr="00A348C1">
        <w:trPr>
          <w:trHeight w:val="265"/>
        </w:trPr>
        <w:tc>
          <w:tcPr>
            <w:tcW w:w="4953" w:type="dxa"/>
            <w:tcBorders>
              <w:top w:val="single" w:sz="4" w:space="0" w:color="auto"/>
              <w:bottom w:val="single" w:sz="4" w:space="0" w:color="auto"/>
              <w:right w:val="single" w:sz="4" w:space="0" w:color="auto"/>
            </w:tcBorders>
            <w:noWrap/>
            <w:hideMark/>
          </w:tcPr>
          <w:p w14:paraId="3384A228" w14:textId="77777777" w:rsidR="0070405B" w:rsidRPr="007B2920" w:rsidRDefault="00670596" w:rsidP="007B2920">
            <w:pPr>
              <w:jc w:val="center"/>
            </w:pPr>
            <w:r w:rsidRPr="007B2920">
              <w:t>Friday, April 6, 2018</w:t>
            </w:r>
          </w:p>
        </w:tc>
        <w:tc>
          <w:tcPr>
            <w:tcW w:w="4397" w:type="dxa"/>
            <w:tcBorders>
              <w:top w:val="single" w:sz="4" w:space="0" w:color="auto"/>
              <w:left w:val="single" w:sz="4" w:space="0" w:color="auto"/>
              <w:bottom w:val="single" w:sz="4" w:space="0" w:color="auto"/>
            </w:tcBorders>
            <w:noWrap/>
            <w:hideMark/>
          </w:tcPr>
          <w:p w14:paraId="024DA171" w14:textId="77777777" w:rsidR="0070405B" w:rsidRPr="007B2920" w:rsidRDefault="00670596" w:rsidP="007B2920">
            <w:pPr>
              <w:jc w:val="center"/>
            </w:pPr>
            <w:r w:rsidRPr="007B2920">
              <w:t>$14.52</w:t>
            </w:r>
          </w:p>
        </w:tc>
      </w:tr>
      <w:tr w:rsidR="00C208DC" w:rsidRPr="007B2920" w14:paraId="515B7E29" w14:textId="77777777" w:rsidTr="00A348C1">
        <w:trPr>
          <w:trHeight w:val="265"/>
        </w:trPr>
        <w:tc>
          <w:tcPr>
            <w:tcW w:w="4953" w:type="dxa"/>
            <w:tcBorders>
              <w:top w:val="single" w:sz="4" w:space="0" w:color="auto"/>
              <w:bottom w:val="single" w:sz="4" w:space="0" w:color="auto"/>
              <w:right w:val="single" w:sz="4" w:space="0" w:color="auto"/>
            </w:tcBorders>
            <w:noWrap/>
            <w:hideMark/>
          </w:tcPr>
          <w:p w14:paraId="173D412E" w14:textId="77777777" w:rsidR="0070405B" w:rsidRPr="007B2920" w:rsidRDefault="00670596" w:rsidP="007B2920">
            <w:pPr>
              <w:jc w:val="center"/>
            </w:pPr>
            <w:r w:rsidRPr="007B2920">
              <w:t>Monday, April 9, 2018</w:t>
            </w:r>
          </w:p>
        </w:tc>
        <w:tc>
          <w:tcPr>
            <w:tcW w:w="4397" w:type="dxa"/>
            <w:tcBorders>
              <w:top w:val="single" w:sz="4" w:space="0" w:color="auto"/>
              <w:left w:val="single" w:sz="4" w:space="0" w:color="auto"/>
              <w:bottom w:val="single" w:sz="4" w:space="0" w:color="auto"/>
            </w:tcBorders>
            <w:noWrap/>
            <w:hideMark/>
          </w:tcPr>
          <w:p w14:paraId="23FA38A3" w14:textId="77777777" w:rsidR="0070405B" w:rsidRPr="007B2920" w:rsidRDefault="00670596" w:rsidP="007B2920">
            <w:pPr>
              <w:jc w:val="center"/>
            </w:pPr>
            <w:r w:rsidRPr="007B2920">
              <w:t>$14.49</w:t>
            </w:r>
          </w:p>
        </w:tc>
      </w:tr>
      <w:tr w:rsidR="00C208DC" w:rsidRPr="007B2920" w14:paraId="19E6BDDD" w14:textId="77777777" w:rsidTr="00A348C1">
        <w:trPr>
          <w:trHeight w:val="265"/>
        </w:trPr>
        <w:tc>
          <w:tcPr>
            <w:tcW w:w="4953" w:type="dxa"/>
            <w:tcBorders>
              <w:top w:val="single" w:sz="4" w:space="0" w:color="auto"/>
              <w:bottom w:val="single" w:sz="4" w:space="0" w:color="auto"/>
              <w:right w:val="single" w:sz="4" w:space="0" w:color="auto"/>
            </w:tcBorders>
            <w:noWrap/>
            <w:hideMark/>
          </w:tcPr>
          <w:p w14:paraId="3E03C688" w14:textId="77777777" w:rsidR="0070405B" w:rsidRPr="007B2920" w:rsidRDefault="00670596" w:rsidP="007B2920">
            <w:pPr>
              <w:jc w:val="center"/>
            </w:pPr>
            <w:r w:rsidRPr="007B2920">
              <w:t>Tuesday, April 10, 2018</w:t>
            </w:r>
          </w:p>
        </w:tc>
        <w:tc>
          <w:tcPr>
            <w:tcW w:w="4397" w:type="dxa"/>
            <w:tcBorders>
              <w:top w:val="single" w:sz="4" w:space="0" w:color="auto"/>
              <w:left w:val="single" w:sz="4" w:space="0" w:color="auto"/>
              <w:bottom w:val="single" w:sz="4" w:space="0" w:color="auto"/>
            </w:tcBorders>
            <w:noWrap/>
            <w:hideMark/>
          </w:tcPr>
          <w:p w14:paraId="31E42EDE" w14:textId="77777777" w:rsidR="0070405B" w:rsidRPr="007B2920" w:rsidRDefault="00670596" w:rsidP="007B2920">
            <w:pPr>
              <w:jc w:val="center"/>
            </w:pPr>
            <w:r w:rsidRPr="007B2920">
              <w:t>$14.46</w:t>
            </w:r>
          </w:p>
        </w:tc>
      </w:tr>
      <w:tr w:rsidR="00C208DC" w:rsidRPr="007B2920" w14:paraId="48B16CCE" w14:textId="77777777" w:rsidTr="00A348C1">
        <w:trPr>
          <w:trHeight w:val="265"/>
        </w:trPr>
        <w:tc>
          <w:tcPr>
            <w:tcW w:w="4953" w:type="dxa"/>
            <w:tcBorders>
              <w:top w:val="single" w:sz="4" w:space="0" w:color="auto"/>
              <w:bottom w:val="single" w:sz="4" w:space="0" w:color="auto"/>
              <w:right w:val="single" w:sz="4" w:space="0" w:color="auto"/>
            </w:tcBorders>
            <w:noWrap/>
            <w:hideMark/>
          </w:tcPr>
          <w:p w14:paraId="440E7823" w14:textId="77777777" w:rsidR="0070405B" w:rsidRPr="007B2920" w:rsidRDefault="00670596" w:rsidP="007B2920">
            <w:pPr>
              <w:jc w:val="center"/>
            </w:pPr>
            <w:r w:rsidRPr="007B2920">
              <w:t>Wednesday, April 11, 2018</w:t>
            </w:r>
          </w:p>
        </w:tc>
        <w:tc>
          <w:tcPr>
            <w:tcW w:w="4397" w:type="dxa"/>
            <w:tcBorders>
              <w:top w:val="single" w:sz="4" w:space="0" w:color="auto"/>
              <w:left w:val="single" w:sz="4" w:space="0" w:color="auto"/>
              <w:bottom w:val="single" w:sz="4" w:space="0" w:color="auto"/>
            </w:tcBorders>
            <w:noWrap/>
            <w:hideMark/>
          </w:tcPr>
          <w:p w14:paraId="7A23C109" w14:textId="77777777" w:rsidR="0070405B" w:rsidRPr="007B2920" w:rsidRDefault="00670596" w:rsidP="007B2920">
            <w:pPr>
              <w:jc w:val="center"/>
            </w:pPr>
            <w:r w:rsidRPr="007B2920">
              <w:t>$14.44</w:t>
            </w:r>
          </w:p>
        </w:tc>
      </w:tr>
      <w:tr w:rsidR="00C208DC" w:rsidRPr="007B2920" w14:paraId="6B067D96" w14:textId="77777777" w:rsidTr="00A348C1">
        <w:trPr>
          <w:trHeight w:val="265"/>
        </w:trPr>
        <w:tc>
          <w:tcPr>
            <w:tcW w:w="4953" w:type="dxa"/>
            <w:tcBorders>
              <w:top w:val="single" w:sz="4" w:space="0" w:color="auto"/>
              <w:bottom w:val="single" w:sz="4" w:space="0" w:color="auto"/>
              <w:right w:val="single" w:sz="4" w:space="0" w:color="auto"/>
            </w:tcBorders>
            <w:noWrap/>
            <w:hideMark/>
          </w:tcPr>
          <w:p w14:paraId="59A80276" w14:textId="77777777" w:rsidR="0070405B" w:rsidRPr="007B2920" w:rsidRDefault="00670596" w:rsidP="007B2920">
            <w:pPr>
              <w:jc w:val="center"/>
            </w:pPr>
            <w:r w:rsidRPr="007B2920">
              <w:t>Thursday, April 12, 2018</w:t>
            </w:r>
          </w:p>
        </w:tc>
        <w:tc>
          <w:tcPr>
            <w:tcW w:w="4397" w:type="dxa"/>
            <w:tcBorders>
              <w:top w:val="single" w:sz="4" w:space="0" w:color="auto"/>
              <w:left w:val="single" w:sz="4" w:space="0" w:color="auto"/>
              <w:bottom w:val="single" w:sz="4" w:space="0" w:color="auto"/>
            </w:tcBorders>
            <w:noWrap/>
            <w:hideMark/>
          </w:tcPr>
          <w:p w14:paraId="1D734ABA" w14:textId="77777777" w:rsidR="0070405B" w:rsidRPr="007B2920" w:rsidRDefault="00670596" w:rsidP="007B2920">
            <w:pPr>
              <w:jc w:val="center"/>
            </w:pPr>
            <w:r w:rsidRPr="007B2920">
              <w:t>$14.41</w:t>
            </w:r>
          </w:p>
        </w:tc>
      </w:tr>
      <w:tr w:rsidR="00C208DC" w:rsidRPr="007B2920" w14:paraId="799E9C06" w14:textId="77777777" w:rsidTr="00A348C1">
        <w:trPr>
          <w:trHeight w:val="265"/>
        </w:trPr>
        <w:tc>
          <w:tcPr>
            <w:tcW w:w="4953" w:type="dxa"/>
            <w:tcBorders>
              <w:top w:val="single" w:sz="4" w:space="0" w:color="auto"/>
              <w:bottom w:val="single" w:sz="4" w:space="0" w:color="auto"/>
              <w:right w:val="single" w:sz="4" w:space="0" w:color="auto"/>
            </w:tcBorders>
            <w:noWrap/>
            <w:hideMark/>
          </w:tcPr>
          <w:p w14:paraId="730CD049" w14:textId="77777777" w:rsidR="0070405B" w:rsidRPr="007B2920" w:rsidRDefault="00670596" w:rsidP="007B2920">
            <w:pPr>
              <w:jc w:val="center"/>
            </w:pPr>
            <w:r w:rsidRPr="007B2920">
              <w:t>Friday, April 13, 2018</w:t>
            </w:r>
          </w:p>
        </w:tc>
        <w:tc>
          <w:tcPr>
            <w:tcW w:w="4397" w:type="dxa"/>
            <w:tcBorders>
              <w:top w:val="single" w:sz="4" w:space="0" w:color="auto"/>
              <w:left w:val="single" w:sz="4" w:space="0" w:color="auto"/>
              <w:bottom w:val="single" w:sz="4" w:space="0" w:color="auto"/>
            </w:tcBorders>
            <w:noWrap/>
            <w:hideMark/>
          </w:tcPr>
          <w:p w14:paraId="4D9F76D5" w14:textId="77777777" w:rsidR="0070405B" w:rsidRPr="007B2920" w:rsidRDefault="00670596" w:rsidP="007B2920">
            <w:pPr>
              <w:jc w:val="center"/>
            </w:pPr>
            <w:r w:rsidRPr="007B2920">
              <w:t>$14.40</w:t>
            </w:r>
          </w:p>
        </w:tc>
      </w:tr>
      <w:tr w:rsidR="00C208DC" w:rsidRPr="007B2920" w14:paraId="1059D7F9" w14:textId="77777777" w:rsidTr="00A348C1">
        <w:trPr>
          <w:trHeight w:val="265"/>
        </w:trPr>
        <w:tc>
          <w:tcPr>
            <w:tcW w:w="4953" w:type="dxa"/>
            <w:tcBorders>
              <w:top w:val="single" w:sz="4" w:space="0" w:color="auto"/>
              <w:bottom w:val="single" w:sz="4" w:space="0" w:color="auto"/>
              <w:right w:val="single" w:sz="4" w:space="0" w:color="auto"/>
            </w:tcBorders>
            <w:noWrap/>
            <w:hideMark/>
          </w:tcPr>
          <w:p w14:paraId="54D4796E" w14:textId="77777777" w:rsidR="0070405B" w:rsidRPr="007B2920" w:rsidRDefault="00670596" w:rsidP="007B2920">
            <w:pPr>
              <w:jc w:val="center"/>
            </w:pPr>
            <w:r w:rsidRPr="007B2920">
              <w:t>Monday, April 16, 2018</w:t>
            </w:r>
          </w:p>
        </w:tc>
        <w:tc>
          <w:tcPr>
            <w:tcW w:w="4397" w:type="dxa"/>
            <w:tcBorders>
              <w:top w:val="single" w:sz="4" w:space="0" w:color="auto"/>
              <w:left w:val="single" w:sz="4" w:space="0" w:color="auto"/>
              <w:bottom w:val="single" w:sz="4" w:space="0" w:color="auto"/>
            </w:tcBorders>
            <w:noWrap/>
            <w:hideMark/>
          </w:tcPr>
          <w:p w14:paraId="7643567C" w14:textId="77777777" w:rsidR="0070405B" w:rsidRPr="007B2920" w:rsidRDefault="00670596" w:rsidP="007B2920">
            <w:pPr>
              <w:jc w:val="center"/>
            </w:pPr>
            <w:r w:rsidRPr="007B2920">
              <w:t>$14.38</w:t>
            </w:r>
          </w:p>
        </w:tc>
      </w:tr>
      <w:tr w:rsidR="00C208DC" w:rsidRPr="007B2920" w14:paraId="1F0CEC68" w14:textId="77777777" w:rsidTr="00A348C1">
        <w:trPr>
          <w:trHeight w:val="265"/>
        </w:trPr>
        <w:tc>
          <w:tcPr>
            <w:tcW w:w="4953" w:type="dxa"/>
            <w:tcBorders>
              <w:top w:val="single" w:sz="4" w:space="0" w:color="auto"/>
              <w:bottom w:val="single" w:sz="4" w:space="0" w:color="auto"/>
              <w:right w:val="single" w:sz="4" w:space="0" w:color="auto"/>
            </w:tcBorders>
            <w:noWrap/>
            <w:hideMark/>
          </w:tcPr>
          <w:p w14:paraId="61BF27EC" w14:textId="77777777" w:rsidR="0070405B" w:rsidRPr="007B2920" w:rsidRDefault="00670596" w:rsidP="007B2920">
            <w:pPr>
              <w:jc w:val="center"/>
            </w:pPr>
            <w:r w:rsidRPr="007B2920">
              <w:t>Tuesday, April 17, 2018</w:t>
            </w:r>
          </w:p>
        </w:tc>
        <w:tc>
          <w:tcPr>
            <w:tcW w:w="4397" w:type="dxa"/>
            <w:tcBorders>
              <w:top w:val="single" w:sz="4" w:space="0" w:color="auto"/>
              <w:left w:val="single" w:sz="4" w:space="0" w:color="auto"/>
              <w:bottom w:val="single" w:sz="4" w:space="0" w:color="auto"/>
            </w:tcBorders>
            <w:noWrap/>
            <w:hideMark/>
          </w:tcPr>
          <w:p w14:paraId="7D6B78F9" w14:textId="77777777" w:rsidR="0070405B" w:rsidRPr="007B2920" w:rsidRDefault="00670596" w:rsidP="007B2920">
            <w:pPr>
              <w:jc w:val="center"/>
            </w:pPr>
            <w:r w:rsidRPr="007B2920">
              <w:t>$14.37</w:t>
            </w:r>
          </w:p>
        </w:tc>
      </w:tr>
      <w:tr w:rsidR="00C208DC" w:rsidRPr="007B2920" w14:paraId="49AAE2EE" w14:textId="77777777" w:rsidTr="00A348C1">
        <w:trPr>
          <w:trHeight w:val="265"/>
        </w:trPr>
        <w:tc>
          <w:tcPr>
            <w:tcW w:w="4953" w:type="dxa"/>
            <w:tcBorders>
              <w:top w:val="single" w:sz="4" w:space="0" w:color="auto"/>
              <w:bottom w:val="single" w:sz="4" w:space="0" w:color="auto"/>
              <w:right w:val="single" w:sz="4" w:space="0" w:color="auto"/>
            </w:tcBorders>
            <w:noWrap/>
            <w:hideMark/>
          </w:tcPr>
          <w:p w14:paraId="4DD626AD" w14:textId="77777777" w:rsidR="0070405B" w:rsidRPr="007B2920" w:rsidRDefault="00670596" w:rsidP="007B2920">
            <w:pPr>
              <w:jc w:val="center"/>
            </w:pPr>
            <w:r w:rsidRPr="007B2920">
              <w:t>Wednesday, April 18, 2018</w:t>
            </w:r>
          </w:p>
        </w:tc>
        <w:tc>
          <w:tcPr>
            <w:tcW w:w="4397" w:type="dxa"/>
            <w:tcBorders>
              <w:top w:val="single" w:sz="4" w:space="0" w:color="auto"/>
              <w:left w:val="single" w:sz="4" w:space="0" w:color="auto"/>
              <w:bottom w:val="single" w:sz="4" w:space="0" w:color="auto"/>
            </w:tcBorders>
            <w:noWrap/>
            <w:hideMark/>
          </w:tcPr>
          <w:p w14:paraId="2B968CF8" w14:textId="77777777" w:rsidR="0070405B" w:rsidRPr="007B2920" w:rsidRDefault="00670596" w:rsidP="007B2920">
            <w:pPr>
              <w:jc w:val="center"/>
            </w:pPr>
            <w:r w:rsidRPr="007B2920">
              <w:t>$14.36</w:t>
            </w:r>
          </w:p>
        </w:tc>
      </w:tr>
      <w:tr w:rsidR="00C208DC" w:rsidRPr="007B2920" w14:paraId="0F5FDB62" w14:textId="77777777" w:rsidTr="00A348C1">
        <w:trPr>
          <w:trHeight w:val="265"/>
        </w:trPr>
        <w:tc>
          <w:tcPr>
            <w:tcW w:w="4953" w:type="dxa"/>
            <w:tcBorders>
              <w:top w:val="single" w:sz="4" w:space="0" w:color="auto"/>
              <w:bottom w:val="single" w:sz="4" w:space="0" w:color="auto"/>
              <w:right w:val="single" w:sz="4" w:space="0" w:color="auto"/>
            </w:tcBorders>
            <w:noWrap/>
            <w:hideMark/>
          </w:tcPr>
          <w:p w14:paraId="3BD0A053" w14:textId="77777777" w:rsidR="0070405B" w:rsidRPr="007B2920" w:rsidRDefault="00670596" w:rsidP="007B2920">
            <w:pPr>
              <w:jc w:val="center"/>
            </w:pPr>
            <w:r w:rsidRPr="007B2920">
              <w:t>Thursday, April 19, 2018</w:t>
            </w:r>
          </w:p>
        </w:tc>
        <w:tc>
          <w:tcPr>
            <w:tcW w:w="4397" w:type="dxa"/>
            <w:tcBorders>
              <w:top w:val="single" w:sz="4" w:space="0" w:color="auto"/>
              <w:left w:val="single" w:sz="4" w:space="0" w:color="auto"/>
              <w:bottom w:val="single" w:sz="4" w:space="0" w:color="auto"/>
            </w:tcBorders>
            <w:noWrap/>
            <w:hideMark/>
          </w:tcPr>
          <w:p w14:paraId="4DA35E27" w14:textId="77777777" w:rsidR="0070405B" w:rsidRPr="007B2920" w:rsidRDefault="00670596" w:rsidP="007B2920">
            <w:pPr>
              <w:jc w:val="center"/>
            </w:pPr>
            <w:r w:rsidRPr="007B2920">
              <w:t>$14.35</w:t>
            </w:r>
          </w:p>
        </w:tc>
      </w:tr>
      <w:tr w:rsidR="00C208DC" w:rsidRPr="007B2920" w14:paraId="39DE1CEA" w14:textId="77777777" w:rsidTr="00A348C1">
        <w:trPr>
          <w:trHeight w:val="265"/>
        </w:trPr>
        <w:tc>
          <w:tcPr>
            <w:tcW w:w="4953" w:type="dxa"/>
            <w:tcBorders>
              <w:top w:val="single" w:sz="4" w:space="0" w:color="auto"/>
              <w:bottom w:val="single" w:sz="4" w:space="0" w:color="auto"/>
              <w:right w:val="single" w:sz="4" w:space="0" w:color="auto"/>
            </w:tcBorders>
            <w:noWrap/>
          </w:tcPr>
          <w:p w14:paraId="6B6FF094" w14:textId="77777777" w:rsidR="0070405B" w:rsidRPr="007B2920" w:rsidRDefault="00670596" w:rsidP="007B2920">
            <w:pPr>
              <w:jc w:val="center"/>
            </w:pPr>
            <w:r w:rsidRPr="007B2920">
              <w:t>Friday, April 20, 2018</w:t>
            </w:r>
          </w:p>
        </w:tc>
        <w:tc>
          <w:tcPr>
            <w:tcW w:w="4397" w:type="dxa"/>
            <w:tcBorders>
              <w:top w:val="single" w:sz="4" w:space="0" w:color="auto"/>
              <w:left w:val="single" w:sz="4" w:space="0" w:color="auto"/>
              <w:bottom w:val="single" w:sz="4" w:space="0" w:color="auto"/>
            </w:tcBorders>
            <w:noWrap/>
          </w:tcPr>
          <w:p w14:paraId="406D3D86" w14:textId="77777777" w:rsidR="0070405B" w:rsidRPr="007B2920" w:rsidRDefault="00670596" w:rsidP="007B2920">
            <w:pPr>
              <w:jc w:val="center"/>
            </w:pPr>
            <w:r w:rsidRPr="007B2920">
              <w:t>$14.35</w:t>
            </w:r>
          </w:p>
        </w:tc>
      </w:tr>
      <w:tr w:rsidR="00C208DC" w:rsidRPr="007B2920" w14:paraId="05F927CD" w14:textId="77777777" w:rsidTr="00A348C1">
        <w:trPr>
          <w:trHeight w:val="265"/>
        </w:trPr>
        <w:tc>
          <w:tcPr>
            <w:tcW w:w="4953" w:type="dxa"/>
            <w:tcBorders>
              <w:top w:val="single" w:sz="4" w:space="0" w:color="auto"/>
              <w:bottom w:val="single" w:sz="4" w:space="0" w:color="auto"/>
              <w:right w:val="single" w:sz="4" w:space="0" w:color="auto"/>
            </w:tcBorders>
            <w:noWrap/>
          </w:tcPr>
          <w:p w14:paraId="190811AE" w14:textId="77777777" w:rsidR="0070405B" w:rsidRPr="007B2920" w:rsidRDefault="00670596" w:rsidP="007B2920">
            <w:pPr>
              <w:jc w:val="center"/>
            </w:pPr>
            <w:r w:rsidRPr="007B2920">
              <w:t>Monday, April 23, 2018</w:t>
            </w:r>
          </w:p>
        </w:tc>
        <w:tc>
          <w:tcPr>
            <w:tcW w:w="4397" w:type="dxa"/>
            <w:tcBorders>
              <w:top w:val="single" w:sz="4" w:space="0" w:color="auto"/>
              <w:left w:val="single" w:sz="4" w:space="0" w:color="auto"/>
              <w:bottom w:val="single" w:sz="4" w:space="0" w:color="auto"/>
            </w:tcBorders>
            <w:noWrap/>
          </w:tcPr>
          <w:p w14:paraId="659AFD6D" w14:textId="77777777" w:rsidR="0070405B" w:rsidRPr="007B2920" w:rsidRDefault="00670596" w:rsidP="007B2920">
            <w:pPr>
              <w:jc w:val="center"/>
            </w:pPr>
            <w:r w:rsidRPr="007B2920">
              <w:t>$14.36</w:t>
            </w:r>
          </w:p>
        </w:tc>
      </w:tr>
    </w:tbl>
    <w:p w14:paraId="427897D9" w14:textId="77777777" w:rsidR="0070405B" w:rsidRPr="007B2920" w:rsidRDefault="0070405B" w:rsidP="007B2920">
      <w:pPr>
        <w:pStyle w:val="BodyTextFirstIndent2"/>
        <w:tabs>
          <w:tab w:val="left" w:pos="5040"/>
        </w:tabs>
        <w:ind w:firstLine="0"/>
        <w:rPr>
          <w:color w:val="000000"/>
          <w:u w:color="000000"/>
          <w:shd w:val="clear" w:color="auto" w:fill="FFFFFF"/>
        </w:rPr>
      </w:pPr>
    </w:p>
    <w:p w14:paraId="3606C937" w14:textId="0D38A57E" w:rsidR="00E23CD9" w:rsidRPr="007B2920" w:rsidRDefault="00E23CD9" w:rsidP="007B2920">
      <w:pPr>
        <w:spacing w:after="240"/>
        <w:jc w:val="center"/>
        <w:rPr>
          <w:b/>
          <w:bCs/>
        </w:rPr>
      </w:pPr>
    </w:p>
    <w:sectPr w:rsidR="00E23CD9" w:rsidRPr="007B2920" w:rsidSect="00865662">
      <w:headerReference w:type="even" r:id="rId12"/>
      <w:headerReference w:type="default" r:id="rId13"/>
      <w:footerReference w:type="even" r:id="rId14"/>
      <w:footerReference w:type="default" r:id="rId15"/>
      <w:headerReference w:type="first" r:id="rId16"/>
      <w:footerReference w:type="first" r:id="rId17"/>
      <w:pgSz w:w="12240" w:h="15840" w:code="1"/>
      <w:pgMar w:top="1296" w:right="1440" w:bottom="1152" w:left="1440" w:header="288" w:footer="576"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413451" w14:textId="77777777" w:rsidR="00FB110F" w:rsidRDefault="00670596">
      <w:r>
        <w:separator/>
      </w:r>
    </w:p>
  </w:endnote>
  <w:endnote w:type="continuationSeparator" w:id="0">
    <w:p w14:paraId="22FBC6D5" w14:textId="77777777" w:rsidR="00FB110F" w:rsidRDefault="00670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TimesNewRomanPSMT2">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3CB82" w14:textId="77777777" w:rsidR="00F47690" w:rsidRDefault="006705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74D2F39E" w14:textId="77777777" w:rsidR="00F47690" w:rsidRDefault="00F47690"/>
  <w:p w14:paraId="5BD8F9D8" w14:textId="77777777" w:rsidR="00F47690" w:rsidRDefault="00F47690">
    <w:pPr>
      <w:pStyle w:val="Header"/>
    </w:pPr>
  </w:p>
  <w:p w14:paraId="2DF5C0A4" w14:textId="77777777" w:rsidR="00F47690" w:rsidRDefault="00F47690">
    <w:pPr>
      <w:pStyle w:val="Footer"/>
      <w:framePr w:wrap="around" w:vAnchor="text" w:hAnchor="margin" w:xAlign="center" w:y="1"/>
      <w:rPr>
        <w:rStyle w:val="PageNumb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sz w:val="22"/>
        <w:szCs w:val="22"/>
        <w:lang w:val="en-US"/>
      </w:rPr>
      <w:id w:val="1987891691"/>
      <w:docPartObj>
        <w:docPartGallery w:val="Page Numbers (Bottom of Page)"/>
        <w:docPartUnique/>
      </w:docPartObj>
    </w:sdtPr>
    <w:sdtEndPr/>
    <w:sdtContent>
      <w:p w14:paraId="09D51BD7" w14:textId="77777777" w:rsidR="007B2920" w:rsidRPr="007B2920" w:rsidRDefault="007B2920" w:rsidP="007B2920">
        <w:pPr>
          <w:pStyle w:val="Footer"/>
          <w:spacing w:before="120"/>
          <w:jc w:val="center"/>
          <w:rPr>
            <w:rFonts w:ascii="Times New Roman" w:hAnsi="Times New Roman"/>
            <w:sz w:val="22"/>
            <w:szCs w:val="22"/>
            <w:lang w:val="en-US"/>
          </w:rPr>
        </w:pPr>
        <w:r w:rsidRPr="007B2920">
          <w:rPr>
            <w:rFonts w:ascii="Times New Roman" w:hAnsi="Times New Roman"/>
            <w:sz w:val="22"/>
            <w:szCs w:val="22"/>
            <w:lang w:val="en-US"/>
          </w:rPr>
          <w:fldChar w:fldCharType="begin"/>
        </w:r>
        <w:r w:rsidRPr="007B2920">
          <w:rPr>
            <w:rFonts w:ascii="Times New Roman" w:hAnsi="Times New Roman"/>
            <w:sz w:val="22"/>
            <w:szCs w:val="22"/>
            <w:lang w:val="en-US"/>
          </w:rPr>
          <w:instrText xml:space="preserve"> PAGE   \* MERGEFORMAT </w:instrText>
        </w:r>
        <w:r w:rsidRPr="007B2920">
          <w:rPr>
            <w:rFonts w:ascii="Times New Roman" w:hAnsi="Times New Roman"/>
            <w:sz w:val="22"/>
            <w:szCs w:val="22"/>
            <w:lang w:val="en-US"/>
          </w:rPr>
          <w:fldChar w:fldCharType="separate"/>
        </w:r>
        <w:r w:rsidRPr="007B2920">
          <w:rPr>
            <w:rFonts w:ascii="Times New Roman" w:hAnsi="Times New Roman"/>
            <w:sz w:val="22"/>
            <w:szCs w:val="22"/>
            <w:lang w:val="en-US"/>
          </w:rPr>
          <w:t>3</w:t>
        </w:r>
        <w:r w:rsidRPr="007B2920">
          <w:rPr>
            <w:rFonts w:ascii="Times New Roman" w:hAnsi="Times New Roman"/>
            <w:sz w:val="22"/>
            <w:szCs w:val="22"/>
          </w:rPr>
          <w:fldChar w:fldCharType="end"/>
        </w:r>
      </w:p>
      <w:p w14:paraId="4F99BEDA" w14:textId="77777777" w:rsidR="007B2920" w:rsidRPr="007B2920" w:rsidRDefault="007B2920" w:rsidP="007B2920">
        <w:pPr>
          <w:pStyle w:val="Footer"/>
          <w:spacing w:before="60"/>
          <w:jc w:val="center"/>
          <w:rPr>
            <w:rFonts w:ascii="Times New Roman" w:hAnsi="Times New Roman"/>
            <w:sz w:val="22"/>
            <w:szCs w:val="22"/>
            <w:lang w:val="en-US"/>
          </w:rPr>
        </w:pPr>
        <w:r w:rsidRPr="007B2920">
          <w:rPr>
            <w:rFonts w:ascii="Times New Roman" w:hAnsi="Times New Roman"/>
            <w:sz w:val="22"/>
            <w:szCs w:val="22"/>
            <w:lang w:val="en-US"/>
          </w:rPr>
          <w:t>Questions?  Visit www.GeneralElectricSecuritiesLitigation.com or call toll-free 1-844-202-9485</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sz w:val="22"/>
        <w:szCs w:val="22"/>
        <w:lang w:val="en-US"/>
      </w:rPr>
      <w:id w:val="1482416888"/>
      <w:docPartObj>
        <w:docPartGallery w:val="Page Numbers (Bottom of Page)"/>
        <w:docPartUnique/>
      </w:docPartObj>
    </w:sdtPr>
    <w:sdtEndPr/>
    <w:sdtContent>
      <w:p w14:paraId="56011605" w14:textId="7186AE2F" w:rsidR="007B2920" w:rsidRPr="007B2920" w:rsidRDefault="007B2920" w:rsidP="007B2920">
        <w:pPr>
          <w:pStyle w:val="Footer"/>
          <w:spacing w:before="120"/>
          <w:jc w:val="center"/>
          <w:rPr>
            <w:rFonts w:ascii="Times New Roman" w:hAnsi="Times New Roman"/>
            <w:sz w:val="22"/>
            <w:szCs w:val="22"/>
            <w:lang w:val="en-US"/>
          </w:rPr>
        </w:pPr>
      </w:p>
      <w:p w14:paraId="02B6A4D9" w14:textId="77777777" w:rsidR="007B2920" w:rsidRPr="007B2920" w:rsidRDefault="007B2920" w:rsidP="007B2920">
        <w:pPr>
          <w:pStyle w:val="Footer"/>
          <w:spacing w:before="60"/>
          <w:jc w:val="center"/>
          <w:rPr>
            <w:rFonts w:ascii="Times New Roman" w:hAnsi="Times New Roman"/>
            <w:sz w:val="22"/>
            <w:szCs w:val="22"/>
            <w:lang w:val="en-US"/>
          </w:rPr>
        </w:pPr>
        <w:r w:rsidRPr="007B2920">
          <w:rPr>
            <w:rFonts w:ascii="Times New Roman" w:hAnsi="Times New Roman"/>
            <w:sz w:val="22"/>
            <w:szCs w:val="22"/>
            <w:lang w:val="en-US"/>
          </w:rPr>
          <w:t>Questions?  Visit www.GeneralElectricSecuritiesLitigation.com or call toll-free 1-844-202-9485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CF3205" w14:textId="77777777" w:rsidR="005C37DF" w:rsidRDefault="00670596">
      <w:r>
        <w:separator/>
      </w:r>
    </w:p>
  </w:footnote>
  <w:footnote w:type="continuationSeparator" w:id="0">
    <w:p w14:paraId="76EA4052" w14:textId="77777777" w:rsidR="005C37DF" w:rsidRDefault="00670596">
      <w:pPr>
        <w:pStyle w:val="Footer"/>
      </w:pPr>
      <w:r>
        <w:separator/>
      </w:r>
    </w:p>
  </w:footnote>
  <w:footnote w:type="continuationNotice" w:id="1">
    <w:p w14:paraId="433988E3" w14:textId="77777777" w:rsidR="005C37DF" w:rsidRDefault="005C37DF"/>
  </w:footnote>
  <w:footnote w:id="2">
    <w:p w14:paraId="676DA278" w14:textId="6A10F695" w:rsidR="00F47690" w:rsidRPr="00E4087B" w:rsidRDefault="00670596" w:rsidP="008506A3">
      <w:pPr>
        <w:pStyle w:val="FootnoteText"/>
        <w:spacing w:line="228" w:lineRule="auto"/>
        <w:jc w:val="both"/>
        <w:rPr>
          <w:sz w:val="22"/>
          <w:szCs w:val="22"/>
          <w:u w:val="single"/>
        </w:rPr>
      </w:pPr>
      <w:r w:rsidRPr="00E4087B">
        <w:rPr>
          <w:rStyle w:val="FootnoteReference"/>
          <w:sz w:val="22"/>
          <w:szCs w:val="22"/>
        </w:rPr>
        <w:footnoteRef/>
      </w:r>
      <w:r w:rsidRPr="00E4087B">
        <w:rPr>
          <w:sz w:val="22"/>
          <w:szCs w:val="22"/>
        </w:rPr>
        <w:t xml:space="preserve"> </w:t>
      </w:r>
      <w:r w:rsidRPr="00E4087B">
        <w:rPr>
          <w:sz w:val="22"/>
          <w:szCs w:val="22"/>
        </w:rPr>
        <w:tab/>
        <w:t xml:space="preserve">All capitalized terms not defined in this Notice have the meanings provided in the Stipulation and Agreement of Settlement, </w:t>
      </w:r>
      <w:r w:rsidR="00506AEF">
        <w:rPr>
          <w:sz w:val="22"/>
          <w:szCs w:val="22"/>
        </w:rPr>
        <w:t xml:space="preserve">dated November 22, 2024 </w:t>
      </w:r>
      <w:r w:rsidRPr="00E4087B">
        <w:rPr>
          <w:sz w:val="22"/>
          <w:szCs w:val="22"/>
        </w:rPr>
        <w:t xml:space="preserve">(“Stipulation”). The Stipulation can be viewed at </w:t>
      </w:r>
      <w:r w:rsidRPr="00E4087B">
        <w:rPr>
          <w:sz w:val="22"/>
          <w:szCs w:val="22"/>
          <w:u w:val="single"/>
        </w:rPr>
        <w:t>www.GeneralElectricSecuritiesLitigation.com</w:t>
      </w:r>
      <w:r w:rsidRPr="00E4087B">
        <w:rPr>
          <w:sz w:val="22"/>
          <w:szCs w:val="22"/>
        </w:rPr>
        <w:t>.</w:t>
      </w:r>
      <w:r w:rsidRPr="00E4087B">
        <w:rPr>
          <w:sz w:val="22"/>
          <w:szCs w:val="22"/>
          <w:u w:val="single"/>
        </w:rPr>
        <w:t xml:space="preserve"> </w:t>
      </w:r>
    </w:p>
  </w:footnote>
  <w:footnote w:id="3">
    <w:p w14:paraId="616AEB7E" w14:textId="0EDCA84B" w:rsidR="006C1168" w:rsidRPr="00E4087B" w:rsidRDefault="00670596" w:rsidP="008506A3">
      <w:pPr>
        <w:pStyle w:val="PlainText"/>
        <w:spacing w:line="228" w:lineRule="auto"/>
        <w:ind w:firstLine="0"/>
        <w:jc w:val="both"/>
        <w:rPr>
          <w:sz w:val="20"/>
          <w:szCs w:val="20"/>
        </w:rPr>
      </w:pPr>
      <w:r w:rsidRPr="00E4087B">
        <w:rPr>
          <w:rStyle w:val="FootnoteReference"/>
          <w:sz w:val="22"/>
          <w:szCs w:val="22"/>
        </w:rPr>
        <w:footnoteRef/>
      </w:r>
      <w:r w:rsidRPr="00E4087B">
        <w:rPr>
          <w:sz w:val="22"/>
          <w:szCs w:val="22"/>
        </w:rPr>
        <w:t xml:space="preserve"> </w:t>
      </w:r>
      <w:r w:rsidRPr="00E4087B">
        <w:rPr>
          <w:sz w:val="22"/>
          <w:szCs w:val="22"/>
        </w:rPr>
        <w:tab/>
      </w:r>
      <w:r w:rsidR="00F07E6A" w:rsidRPr="00E4087B">
        <w:rPr>
          <w:sz w:val="22"/>
          <w:szCs w:val="22"/>
        </w:rPr>
        <w:t xml:space="preserve">Prior to the Court’s April 12, 2018 order re-opening the lead plaintiff appointment process, Labaton Keller </w:t>
      </w:r>
      <w:proofErr w:type="spellStart"/>
      <w:r w:rsidR="00F07E6A" w:rsidRPr="00E4087B">
        <w:rPr>
          <w:sz w:val="22"/>
          <w:szCs w:val="22"/>
        </w:rPr>
        <w:t>Sucharow</w:t>
      </w:r>
      <w:proofErr w:type="spellEnd"/>
      <w:r w:rsidR="00F07E6A" w:rsidRPr="00E4087B">
        <w:rPr>
          <w:sz w:val="22"/>
          <w:szCs w:val="22"/>
        </w:rPr>
        <w:t xml:space="preserve"> LLP (“Labaton”) had been appointed as counsel for the putative class. Class Counsel will reimburse Labaton for its time spent from any attorneys</w:t>
      </w:r>
      <w:r w:rsidR="00F07E6A" w:rsidRPr="00E4087B">
        <w:rPr>
          <w:sz w:val="22"/>
          <w:szCs w:val="22"/>
          <w:lang w:val="en-US"/>
        </w:rPr>
        <w:t>’</w:t>
      </w:r>
      <w:r w:rsidR="00F07E6A" w:rsidRPr="00E4087B">
        <w:rPr>
          <w:sz w:val="22"/>
          <w:szCs w:val="22"/>
        </w:rPr>
        <w:t xml:space="preserve"> fees awarded by the Court and seek on its behalf reimbursement of its reasonable expenses.</w:t>
      </w:r>
    </w:p>
  </w:footnote>
  <w:footnote w:id="4">
    <w:p w14:paraId="611558C7" w14:textId="13B9448D" w:rsidR="00F47690" w:rsidRPr="00865662" w:rsidRDefault="00670596" w:rsidP="008506A3">
      <w:pPr>
        <w:pStyle w:val="FootnoteText"/>
        <w:spacing w:line="228" w:lineRule="auto"/>
        <w:jc w:val="both"/>
        <w:rPr>
          <w:spacing w:val="-2"/>
          <w:sz w:val="22"/>
          <w:szCs w:val="22"/>
        </w:rPr>
      </w:pPr>
      <w:r w:rsidRPr="00865662">
        <w:rPr>
          <w:rStyle w:val="FootnoteReference"/>
          <w:spacing w:val="-2"/>
          <w:sz w:val="22"/>
          <w:szCs w:val="22"/>
        </w:rPr>
        <w:footnoteRef/>
      </w:r>
      <w:r w:rsidRPr="00865662">
        <w:rPr>
          <w:spacing w:val="-2"/>
          <w:sz w:val="22"/>
          <w:szCs w:val="22"/>
        </w:rPr>
        <w:t xml:space="preserve"> </w:t>
      </w:r>
      <w:r w:rsidRPr="00865662">
        <w:rPr>
          <w:spacing w:val="-2"/>
          <w:sz w:val="22"/>
          <w:szCs w:val="22"/>
        </w:rPr>
        <w:tab/>
      </w:r>
      <w:r w:rsidRPr="00865662">
        <w:rPr>
          <w:spacing w:val="-2"/>
          <w:sz w:val="22"/>
          <w:szCs w:val="22"/>
        </w:rPr>
        <w:t>The originally appointed and vacated lead plaintiff filed the Consolidated Amended Class Action Complaint for Violations of the Federal Securities Laws and the Second Amended Consolidated Class Action Complaint for Violations of the Federal Securities Laws on March</w:t>
      </w:r>
      <w:r w:rsidR="00B214F8" w:rsidRPr="00865662">
        <w:rPr>
          <w:spacing w:val="-2"/>
          <w:sz w:val="22"/>
          <w:szCs w:val="22"/>
        </w:rPr>
        <w:t> </w:t>
      </w:r>
      <w:r w:rsidRPr="00865662">
        <w:rPr>
          <w:spacing w:val="-2"/>
          <w:sz w:val="22"/>
          <w:szCs w:val="22"/>
        </w:rPr>
        <w:t>20,</w:t>
      </w:r>
      <w:r w:rsidR="00B214F8" w:rsidRPr="00865662">
        <w:rPr>
          <w:spacing w:val="-2"/>
          <w:sz w:val="22"/>
          <w:szCs w:val="22"/>
        </w:rPr>
        <w:t> </w:t>
      </w:r>
      <w:r w:rsidRPr="00865662">
        <w:rPr>
          <w:spacing w:val="-2"/>
          <w:sz w:val="22"/>
          <w:szCs w:val="22"/>
        </w:rPr>
        <w:t xml:space="preserve">2018 and April 10, 2018, respectively. </w:t>
      </w:r>
    </w:p>
  </w:footnote>
  <w:footnote w:id="5">
    <w:p w14:paraId="1AB1D6F6" w14:textId="77777777" w:rsidR="00F47690" w:rsidRPr="00E4087B" w:rsidRDefault="00670596" w:rsidP="008506A3">
      <w:pPr>
        <w:pStyle w:val="FootnoteText"/>
        <w:spacing w:line="228" w:lineRule="auto"/>
        <w:jc w:val="both"/>
        <w:rPr>
          <w:sz w:val="22"/>
          <w:szCs w:val="22"/>
        </w:rPr>
      </w:pPr>
      <w:r w:rsidRPr="00E4087B">
        <w:rPr>
          <w:rStyle w:val="FootnoteReference"/>
          <w:sz w:val="22"/>
          <w:szCs w:val="22"/>
        </w:rPr>
        <w:footnoteRef/>
      </w:r>
      <w:r w:rsidRPr="00E4087B">
        <w:rPr>
          <w:sz w:val="22"/>
          <w:szCs w:val="22"/>
        </w:rPr>
        <w:t xml:space="preserve"> </w:t>
      </w:r>
      <w:r w:rsidRPr="00E4087B">
        <w:rPr>
          <w:sz w:val="22"/>
          <w:szCs w:val="22"/>
        </w:rPr>
        <w:tab/>
        <w:t xml:space="preserve">The Court also dismissed John L. Flannery (“Flannery”) as a defendant in the Action. Flannery was not named as a defendant in the Third Amended Complaint and Plaintiffs’ subsequent pleadings. </w:t>
      </w:r>
    </w:p>
  </w:footnote>
  <w:footnote w:id="6">
    <w:p w14:paraId="26A3BD11" w14:textId="7C739731" w:rsidR="00F47690" w:rsidRPr="00E4087B" w:rsidRDefault="00670596" w:rsidP="008506A3">
      <w:pPr>
        <w:pStyle w:val="FootnoteText"/>
        <w:spacing w:line="228" w:lineRule="auto"/>
        <w:jc w:val="both"/>
        <w:rPr>
          <w:spacing w:val="-4"/>
          <w:sz w:val="22"/>
          <w:szCs w:val="22"/>
        </w:rPr>
      </w:pPr>
      <w:r w:rsidRPr="00E4087B">
        <w:rPr>
          <w:rStyle w:val="FootnoteReference"/>
          <w:spacing w:val="-4"/>
          <w:sz w:val="22"/>
          <w:szCs w:val="22"/>
        </w:rPr>
        <w:footnoteRef/>
      </w:r>
      <w:r w:rsidRPr="00E4087B">
        <w:rPr>
          <w:spacing w:val="-4"/>
          <w:sz w:val="22"/>
          <w:szCs w:val="22"/>
        </w:rPr>
        <w:t xml:space="preserve"> </w:t>
      </w:r>
      <w:r w:rsidRPr="00E4087B">
        <w:rPr>
          <w:spacing w:val="-4"/>
          <w:sz w:val="22"/>
          <w:szCs w:val="22"/>
        </w:rPr>
        <w:tab/>
        <w:t>On the same day, named plaintiffs in a consolidated class action pending in the Supreme Court of the State of New York, County of New York, Index No. 653648/2018, filed a Motion to Intervene for the Limited Purpose of Filing Partial Opposition to Plaintiffs’ Motion for Class Certification.</w:t>
      </w:r>
    </w:p>
  </w:footnote>
  <w:footnote w:id="7">
    <w:p w14:paraId="73D0414E" w14:textId="5617B6B7" w:rsidR="00F47690" w:rsidRPr="00E4087B" w:rsidRDefault="00670596" w:rsidP="008506A3">
      <w:pPr>
        <w:pStyle w:val="FootnoteText"/>
        <w:spacing w:line="228" w:lineRule="auto"/>
        <w:jc w:val="both"/>
        <w:rPr>
          <w:sz w:val="22"/>
          <w:szCs w:val="22"/>
        </w:rPr>
      </w:pPr>
      <w:r w:rsidRPr="00E4087B">
        <w:rPr>
          <w:rStyle w:val="FootnoteReference"/>
          <w:sz w:val="22"/>
          <w:szCs w:val="22"/>
        </w:rPr>
        <w:footnoteRef/>
      </w:r>
      <w:r w:rsidRPr="00E4087B">
        <w:rPr>
          <w:sz w:val="22"/>
          <w:szCs w:val="22"/>
        </w:rPr>
        <w:t xml:space="preserve"> </w:t>
      </w:r>
      <w:r w:rsidRPr="00E4087B">
        <w:rPr>
          <w:sz w:val="22"/>
          <w:szCs w:val="22"/>
        </w:rPr>
        <w:tab/>
        <w:t>The Class Notice stated that it would be within the Court’s discretion whether to permit a second opportunity to request exclusion if there was a settlement. The Class Notice also informed Class Members that if they chose to remain a member of the Class, they would “be bound by all past, present, and future orders and judgments in the Action, whether favorable or unfavorable.”</w:t>
      </w:r>
    </w:p>
  </w:footnote>
  <w:footnote w:id="8">
    <w:p w14:paraId="223633A1" w14:textId="03B8A8FE" w:rsidR="00F47690" w:rsidRPr="00E4087B" w:rsidRDefault="00670596" w:rsidP="008506A3">
      <w:pPr>
        <w:pStyle w:val="FootnoteText"/>
        <w:spacing w:after="120" w:line="228" w:lineRule="auto"/>
        <w:jc w:val="both"/>
        <w:rPr>
          <w:sz w:val="22"/>
          <w:szCs w:val="22"/>
        </w:rPr>
      </w:pPr>
      <w:r w:rsidRPr="00E4087B">
        <w:rPr>
          <w:rStyle w:val="FootnoteReference"/>
          <w:sz w:val="22"/>
          <w:szCs w:val="22"/>
        </w:rPr>
        <w:footnoteRef/>
      </w:r>
      <w:r w:rsidRPr="00E4087B">
        <w:rPr>
          <w:sz w:val="22"/>
          <w:szCs w:val="22"/>
        </w:rPr>
        <w:t xml:space="preserve"> </w:t>
      </w:r>
      <w:r w:rsidRPr="00E4087B">
        <w:rPr>
          <w:sz w:val="22"/>
          <w:szCs w:val="22"/>
        </w:rPr>
        <w:tab/>
        <w:t xml:space="preserve">As this Class was previously certified and, in connection therewith, Class Members had the opportunity to exclude themselves from the Class, the Court has exercised its discretion not to allow a second opportunity for exclusion in connection with the settlement proceedings.  </w:t>
      </w:r>
    </w:p>
  </w:footnote>
  <w:footnote w:id="9">
    <w:p w14:paraId="27663866" w14:textId="77777777" w:rsidR="0070405B" w:rsidRPr="00E4087B" w:rsidRDefault="00670596" w:rsidP="008506A3">
      <w:pPr>
        <w:pStyle w:val="FootnoteText"/>
        <w:spacing w:after="60" w:line="228" w:lineRule="auto"/>
        <w:jc w:val="both"/>
        <w:rPr>
          <w:sz w:val="22"/>
          <w:szCs w:val="22"/>
        </w:rPr>
      </w:pPr>
      <w:r w:rsidRPr="00E4087B">
        <w:rPr>
          <w:rStyle w:val="FootnoteReference"/>
          <w:sz w:val="22"/>
          <w:szCs w:val="22"/>
        </w:rPr>
        <w:footnoteRef/>
      </w:r>
      <w:r w:rsidRPr="00E4087B">
        <w:rPr>
          <w:sz w:val="22"/>
          <w:szCs w:val="22"/>
        </w:rPr>
        <w:t xml:space="preserve"> </w:t>
      </w:r>
      <w:r w:rsidRPr="00E4087B">
        <w:rPr>
          <w:sz w:val="22"/>
          <w:szCs w:val="22"/>
        </w:rPr>
        <w:tab/>
        <w:t>The Class Period ends on Tuesday, January 23, 2018. The last disclosure of alleged corrective information occurred prior to market open on January 24, 2018.</w:t>
      </w:r>
    </w:p>
  </w:footnote>
  <w:footnote w:id="10">
    <w:p w14:paraId="178E6F5C" w14:textId="77777777" w:rsidR="0070405B" w:rsidRPr="00E4087B" w:rsidRDefault="00670596" w:rsidP="008506A3">
      <w:pPr>
        <w:spacing w:after="60" w:line="228" w:lineRule="auto"/>
        <w:jc w:val="both"/>
        <w:rPr>
          <w:sz w:val="22"/>
          <w:szCs w:val="22"/>
        </w:rPr>
      </w:pPr>
      <w:r w:rsidRPr="00E4087B">
        <w:rPr>
          <w:rStyle w:val="FootnoteReference"/>
          <w:sz w:val="22"/>
          <w:szCs w:val="22"/>
        </w:rPr>
        <w:footnoteRef/>
      </w:r>
      <w:r w:rsidRPr="00E4087B">
        <w:rPr>
          <w:sz w:val="22"/>
          <w:szCs w:val="22"/>
        </w:rPr>
        <w:t xml:space="preserve"> </w:t>
      </w:r>
      <w:r w:rsidRPr="00E4087B">
        <w:rPr>
          <w:sz w:val="22"/>
          <w:szCs w:val="22"/>
        </w:rPr>
        <w:tab/>
      </w:r>
      <w:bookmarkStart w:id="10" w:name="_Hlk182306071"/>
      <w:r w:rsidRPr="00E4087B">
        <w:rPr>
          <w:sz w:val="22"/>
          <w:szCs w:val="22"/>
        </w:rPr>
        <w:t xml:space="preserve">Thursday, April 23, 2018 represents the last day of the 90-day period beginning on Wednesday, January 24, 2018, which is the first trading date after the end of the Class Period (the “90-Day Look-Back Period”). The Private Securities Litigation Reform Act of 1995 imposes a statutory limitation on recoverable damages using the 90-Day Look-Back Period. This limitation is incorporated into the calculation of a Class Member’s Recognized Loss Amount. Specifically, a Class Member’s Recognized Loss Amount cannot exceed the difference between the purchase price paid for the GE common stock and the average price of GE common stock during the 90-Day Look-Back Period, if the share was held through April 23, 2018, the end of this period. A Class Member’s Recognized Loss Amount on GE common stock sold during the 90-Day Look-Back Period cannot exceed the difference between the purchase price paid for GE common stock and the average price of GE common stock during the portion of the 90-Day Look-Back Period elapsed as of the date of sale (the “90-Day Look-Back Value”), as set forth in </w:t>
      </w:r>
      <w:r w:rsidRPr="00E4087B">
        <w:rPr>
          <w:b/>
          <w:sz w:val="22"/>
          <w:szCs w:val="22"/>
        </w:rPr>
        <w:t>Table 2</w:t>
      </w:r>
      <w:r w:rsidRPr="00E4087B">
        <w:rPr>
          <w:sz w:val="22"/>
          <w:szCs w:val="22"/>
        </w:rPr>
        <w:t xml:space="preserve"> below.</w:t>
      </w:r>
      <w:bookmarkEnd w:id="10"/>
    </w:p>
  </w:footnote>
  <w:footnote w:id="11">
    <w:p w14:paraId="4E52C8C7" w14:textId="77777777" w:rsidR="0070405B" w:rsidRPr="00E4087B" w:rsidRDefault="00670596" w:rsidP="008506A3">
      <w:pPr>
        <w:spacing w:after="60" w:line="228" w:lineRule="auto"/>
        <w:jc w:val="both"/>
        <w:rPr>
          <w:sz w:val="22"/>
          <w:szCs w:val="22"/>
        </w:rPr>
      </w:pPr>
      <w:r w:rsidRPr="00E4087B">
        <w:rPr>
          <w:sz w:val="22"/>
          <w:szCs w:val="22"/>
          <w:vertAlign w:val="superscript"/>
        </w:rPr>
        <w:footnoteRef/>
      </w:r>
      <w:r w:rsidRPr="00E4087B">
        <w:rPr>
          <w:sz w:val="22"/>
          <w:szCs w:val="22"/>
        </w:rPr>
        <w:t xml:space="preserve"> </w:t>
      </w:r>
      <w:r w:rsidRPr="00E4087B">
        <w:rPr>
          <w:sz w:val="22"/>
          <w:szCs w:val="22"/>
        </w:rPr>
        <w:tab/>
        <w:t>This includes (1) purchases of GE common stock as the result of the exercise of a call option, and (2) purchases of GE common stock by the seller of a put option as a result of the buyer of such put option exercising that put option.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1D2A2" w14:textId="77777777" w:rsidR="00F47690" w:rsidRDefault="0067059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183A62FA" w14:textId="77777777" w:rsidR="00F47690" w:rsidRDefault="00F4769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4DFF6" w14:textId="46774A16" w:rsidR="00F47690" w:rsidRPr="00190448" w:rsidRDefault="00F47690" w:rsidP="00190448">
    <w:pPr>
      <w:ind w:right="72"/>
      <w:textAlignment w:val="baseline"/>
      <w:rPr>
        <w:b/>
        <w:color w:val="000000"/>
        <w:spacing w:val="-3"/>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E02F2" w14:textId="1F477C20" w:rsidR="00F47690" w:rsidRDefault="00F47690" w:rsidP="00B52DCC">
    <w:pPr>
      <w:ind w:right="72"/>
      <w:textAlignment w:val="base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2C18221E"/>
    <w:lvl w:ilvl="0">
      <w:start w:val="1"/>
      <w:numFmt w:val="decimal"/>
      <w:pStyle w:val="ListNumber2"/>
      <w:lvlText w:val="%1."/>
      <w:lvlJc w:val="left"/>
      <w:pPr>
        <w:tabs>
          <w:tab w:val="num" w:pos="720"/>
        </w:tabs>
        <w:ind w:left="720" w:hanging="360"/>
      </w:pPr>
    </w:lvl>
  </w:abstractNum>
  <w:abstractNum w:abstractNumId="1" w15:restartNumberingAfterBreak="0">
    <w:nsid w:val="FFFFFF83"/>
    <w:multiLevelType w:val="singleLevel"/>
    <w:tmpl w:val="412C93C4"/>
    <w:lvl w:ilvl="0">
      <w:start w:val="1"/>
      <w:numFmt w:val="bullet"/>
      <w:pStyle w:val="ListBullet2"/>
      <w:lvlText w:val=""/>
      <w:lvlJc w:val="left"/>
      <w:pPr>
        <w:tabs>
          <w:tab w:val="num" w:pos="1440"/>
        </w:tabs>
        <w:ind w:left="1440" w:hanging="720"/>
      </w:pPr>
      <w:rPr>
        <w:rFonts w:ascii="Symbol" w:hAnsi="Symbol" w:hint="default"/>
      </w:rPr>
    </w:lvl>
  </w:abstractNum>
  <w:abstractNum w:abstractNumId="2" w15:restartNumberingAfterBreak="0">
    <w:nsid w:val="FFFFFF88"/>
    <w:multiLevelType w:val="singleLevel"/>
    <w:tmpl w:val="3894F924"/>
    <w:lvl w:ilvl="0">
      <w:start w:val="1"/>
      <w:numFmt w:val="decimal"/>
      <w:pStyle w:val="ListNumber"/>
      <w:lvlText w:val="%1."/>
      <w:lvlJc w:val="left"/>
      <w:pPr>
        <w:tabs>
          <w:tab w:val="num" w:pos="360"/>
        </w:tabs>
        <w:ind w:left="360" w:hanging="360"/>
      </w:pPr>
    </w:lvl>
  </w:abstractNum>
  <w:abstractNum w:abstractNumId="3" w15:restartNumberingAfterBreak="0">
    <w:nsid w:val="00000001"/>
    <w:multiLevelType w:val="multilevel"/>
    <w:tmpl w:val="00000000"/>
    <w:lvl w:ilvl="0">
      <w:start w:val="1"/>
      <w:numFmt w:val="decimal"/>
      <w:pStyle w:val="Level1"/>
      <w:lvlText w:val="%1."/>
      <w:lvlJc w:val="left"/>
      <w:pPr>
        <w:tabs>
          <w:tab w:val="num" w:pos="1440"/>
        </w:tabs>
        <w:ind w:firstLine="720"/>
      </w:pPr>
    </w:lvl>
    <w:lvl w:ilvl="1">
      <w:start w:val="1"/>
      <w:numFmt w:val="lowerLetter"/>
      <w:lvlText w:val="%2"/>
      <w:lvlJc w:val="left"/>
    </w:lvl>
    <w:lvl w:ilvl="2">
      <w:start w:val="1"/>
      <w:numFmt w:val="lowerLetter"/>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4" w15:restartNumberingAfterBreak="0">
    <w:nsid w:val="00000002"/>
    <w:multiLevelType w:val="multilevel"/>
    <w:tmpl w:val="00000000"/>
    <w:lvl w:ilvl="0">
      <w:start w:val="1"/>
      <w:numFmt w:val="upperLetter"/>
      <w:pStyle w:val="Lm"/>
      <w:lvlText w:val="%1."/>
      <w:lvlJc w:val="left"/>
      <w:pPr>
        <w:tabs>
          <w:tab w:val="num" w:pos="1440"/>
        </w:tabs>
        <w:ind w:firstLine="720"/>
      </w:pPr>
      <w:rPr>
        <w:rFonts w:ascii="Times New Roman" w:hAnsi="Times New Roman" w:cs="Times New Roman"/>
        <w:sz w:val="24"/>
        <w:szCs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5" w15:restartNumberingAfterBreak="0">
    <w:nsid w:val="00196865"/>
    <w:multiLevelType w:val="multilevel"/>
    <w:tmpl w:val="C87A7E16"/>
    <w:lvl w:ilvl="0">
      <w:start w:val="1"/>
      <w:numFmt w:val="decimal"/>
      <w:pStyle w:val="Heading1"/>
      <w:lvlText w:val="%1."/>
      <w:lvlJc w:val="left"/>
      <w:pPr>
        <w:tabs>
          <w:tab w:val="num" w:pos="2160"/>
        </w:tabs>
        <w:ind w:left="1440" w:firstLine="720"/>
      </w:pPr>
      <w:rPr>
        <w:rFonts w:hint="default"/>
        <w:b w:val="0"/>
        <w:i w:val="0"/>
        <w:sz w:val="24"/>
        <w:szCs w:val="24"/>
      </w:rPr>
    </w:lvl>
    <w:lvl w:ilvl="1">
      <w:start w:val="1"/>
      <w:numFmt w:val="lowerLetter"/>
      <w:pStyle w:val="StyleStyleStyleHeading2h210pt"/>
      <w:lvlText w:val="(%2)"/>
      <w:lvlJc w:val="left"/>
      <w:pPr>
        <w:tabs>
          <w:tab w:val="num" w:pos="720"/>
        </w:tabs>
        <w:ind w:left="2160" w:hanging="720"/>
      </w:pPr>
      <w:rPr>
        <w:rFonts w:ascii="Times New Roman" w:hAnsi="Times New Roman" w:hint="default"/>
        <w:b w:val="0"/>
        <w:i w:val="0"/>
        <w:sz w:val="20"/>
      </w:rPr>
    </w:lvl>
    <w:lvl w:ilvl="2">
      <w:start w:val="1"/>
      <w:numFmt w:val="lowerRoman"/>
      <w:pStyle w:val="Heading3"/>
      <w:lvlText w:val="(%3)"/>
      <w:lvlJc w:val="left"/>
      <w:pPr>
        <w:tabs>
          <w:tab w:val="num" w:pos="720"/>
        </w:tabs>
        <w:ind w:left="2160" w:hanging="720"/>
      </w:pPr>
      <w:rPr>
        <w:rFonts w:hint="default"/>
        <w:b w:val="0"/>
      </w:rPr>
    </w:lvl>
    <w:lvl w:ilvl="3">
      <w:start w:val="1"/>
      <w:numFmt w:val="decimal"/>
      <w:pStyle w:val="Heading4"/>
      <w:lvlText w:val="(%4)"/>
      <w:lvlJc w:val="left"/>
      <w:pPr>
        <w:tabs>
          <w:tab w:val="num" w:pos="2880"/>
        </w:tabs>
        <w:ind w:left="2880" w:hanging="720"/>
      </w:pPr>
      <w:rPr>
        <w:rFonts w:hint="default"/>
        <w:b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048F0B5C"/>
    <w:multiLevelType w:val="hybridMultilevel"/>
    <w:tmpl w:val="D428A678"/>
    <w:lvl w:ilvl="0" w:tplc="B024DF14">
      <w:start w:val="1"/>
      <w:numFmt w:val="upperLetter"/>
      <w:lvlText w:val="%1."/>
      <w:lvlJc w:val="left"/>
      <w:pPr>
        <w:ind w:left="1440" w:hanging="360"/>
      </w:pPr>
    </w:lvl>
    <w:lvl w:ilvl="1" w:tplc="BAB661FC" w:tentative="1">
      <w:start w:val="1"/>
      <w:numFmt w:val="lowerLetter"/>
      <w:lvlText w:val="%2."/>
      <w:lvlJc w:val="left"/>
      <w:pPr>
        <w:ind w:left="2160" w:hanging="360"/>
      </w:pPr>
    </w:lvl>
    <w:lvl w:ilvl="2" w:tplc="9476EC86" w:tentative="1">
      <w:start w:val="1"/>
      <w:numFmt w:val="lowerRoman"/>
      <w:lvlText w:val="%3."/>
      <w:lvlJc w:val="right"/>
      <w:pPr>
        <w:ind w:left="2880" w:hanging="180"/>
      </w:pPr>
    </w:lvl>
    <w:lvl w:ilvl="3" w:tplc="77462074" w:tentative="1">
      <w:start w:val="1"/>
      <w:numFmt w:val="decimal"/>
      <w:lvlText w:val="%4."/>
      <w:lvlJc w:val="left"/>
      <w:pPr>
        <w:ind w:left="3600" w:hanging="360"/>
      </w:pPr>
    </w:lvl>
    <w:lvl w:ilvl="4" w:tplc="72689180" w:tentative="1">
      <w:start w:val="1"/>
      <w:numFmt w:val="lowerLetter"/>
      <w:lvlText w:val="%5."/>
      <w:lvlJc w:val="left"/>
      <w:pPr>
        <w:ind w:left="4320" w:hanging="360"/>
      </w:pPr>
    </w:lvl>
    <w:lvl w:ilvl="5" w:tplc="6930BE0C" w:tentative="1">
      <w:start w:val="1"/>
      <w:numFmt w:val="lowerRoman"/>
      <w:lvlText w:val="%6."/>
      <w:lvlJc w:val="right"/>
      <w:pPr>
        <w:ind w:left="5040" w:hanging="180"/>
      </w:pPr>
    </w:lvl>
    <w:lvl w:ilvl="6" w:tplc="8DFCA3F0" w:tentative="1">
      <w:start w:val="1"/>
      <w:numFmt w:val="decimal"/>
      <w:lvlText w:val="%7."/>
      <w:lvlJc w:val="left"/>
      <w:pPr>
        <w:ind w:left="5760" w:hanging="360"/>
      </w:pPr>
    </w:lvl>
    <w:lvl w:ilvl="7" w:tplc="C09A6096" w:tentative="1">
      <w:start w:val="1"/>
      <w:numFmt w:val="lowerLetter"/>
      <w:lvlText w:val="%8."/>
      <w:lvlJc w:val="left"/>
      <w:pPr>
        <w:ind w:left="6480" w:hanging="360"/>
      </w:pPr>
    </w:lvl>
    <w:lvl w:ilvl="8" w:tplc="EB247E92" w:tentative="1">
      <w:start w:val="1"/>
      <w:numFmt w:val="lowerRoman"/>
      <w:lvlText w:val="%9."/>
      <w:lvlJc w:val="right"/>
      <w:pPr>
        <w:ind w:left="7200" w:hanging="180"/>
      </w:pPr>
    </w:lvl>
  </w:abstractNum>
  <w:abstractNum w:abstractNumId="7" w15:restartNumberingAfterBreak="0">
    <w:nsid w:val="0A7D09ED"/>
    <w:multiLevelType w:val="hybridMultilevel"/>
    <w:tmpl w:val="0F4C451A"/>
    <w:lvl w:ilvl="0" w:tplc="97007356">
      <w:start w:val="1"/>
      <w:numFmt w:val="decimal"/>
      <w:pStyle w:val="BodyText1"/>
      <w:lvlText w:val="%1."/>
      <w:lvlJc w:val="left"/>
      <w:pPr>
        <w:ind w:left="1620" w:hanging="360"/>
      </w:pPr>
      <w:rPr>
        <w:b w:val="0"/>
        <w:i w:val="0"/>
      </w:rPr>
    </w:lvl>
    <w:lvl w:ilvl="1" w:tplc="39A6F6A6">
      <w:start w:val="1"/>
      <w:numFmt w:val="lowerLetter"/>
      <w:lvlText w:val="%2."/>
      <w:lvlJc w:val="left"/>
      <w:pPr>
        <w:ind w:left="720" w:hanging="360"/>
      </w:pPr>
    </w:lvl>
    <w:lvl w:ilvl="2" w:tplc="EA5C4A6E">
      <w:start w:val="1"/>
      <w:numFmt w:val="lowerRoman"/>
      <w:lvlText w:val="%3."/>
      <w:lvlJc w:val="right"/>
      <w:pPr>
        <w:ind w:left="1440" w:hanging="180"/>
      </w:pPr>
    </w:lvl>
    <w:lvl w:ilvl="3" w:tplc="B26C5796">
      <w:start w:val="1"/>
      <w:numFmt w:val="decimal"/>
      <w:lvlText w:val="%4."/>
      <w:lvlJc w:val="left"/>
      <w:pPr>
        <w:ind w:left="2160" w:hanging="360"/>
      </w:pPr>
    </w:lvl>
    <w:lvl w:ilvl="4" w:tplc="ACFE38AC" w:tentative="1">
      <w:start w:val="1"/>
      <w:numFmt w:val="lowerLetter"/>
      <w:lvlText w:val="%5."/>
      <w:lvlJc w:val="left"/>
      <w:pPr>
        <w:ind w:left="2880" w:hanging="360"/>
      </w:pPr>
    </w:lvl>
    <w:lvl w:ilvl="5" w:tplc="B2062EFC" w:tentative="1">
      <w:start w:val="1"/>
      <w:numFmt w:val="lowerRoman"/>
      <w:lvlText w:val="%6."/>
      <w:lvlJc w:val="right"/>
      <w:pPr>
        <w:ind w:left="3600" w:hanging="180"/>
      </w:pPr>
    </w:lvl>
    <w:lvl w:ilvl="6" w:tplc="CAC437A2" w:tentative="1">
      <w:start w:val="1"/>
      <w:numFmt w:val="decimal"/>
      <w:lvlText w:val="%7."/>
      <w:lvlJc w:val="left"/>
      <w:pPr>
        <w:ind w:left="4320" w:hanging="360"/>
      </w:pPr>
    </w:lvl>
    <w:lvl w:ilvl="7" w:tplc="C396F622" w:tentative="1">
      <w:start w:val="1"/>
      <w:numFmt w:val="lowerLetter"/>
      <w:lvlText w:val="%8."/>
      <w:lvlJc w:val="left"/>
      <w:pPr>
        <w:ind w:left="5040" w:hanging="360"/>
      </w:pPr>
    </w:lvl>
    <w:lvl w:ilvl="8" w:tplc="0D8ABF74" w:tentative="1">
      <w:start w:val="1"/>
      <w:numFmt w:val="lowerRoman"/>
      <w:lvlText w:val="%9."/>
      <w:lvlJc w:val="right"/>
      <w:pPr>
        <w:ind w:left="5760" w:hanging="180"/>
      </w:pPr>
    </w:lvl>
  </w:abstractNum>
  <w:abstractNum w:abstractNumId="8" w15:restartNumberingAfterBreak="0">
    <w:nsid w:val="0B2E1021"/>
    <w:multiLevelType w:val="hybridMultilevel"/>
    <w:tmpl w:val="A7CA73B2"/>
    <w:lvl w:ilvl="0" w:tplc="9822D23E">
      <w:start w:val="1"/>
      <w:numFmt w:val="lowerLetter"/>
      <w:pStyle w:val="List2"/>
      <w:lvlText w:val="(%1)"/>
      <w:lvlJc w:val="left"/>
      <w:pPr>
        <w:ind w:left="1620" w:hanging="360"/>
      </w:pPr>
      <w:rPr>
        <w:rFonts w:hint="default"/>
        <w:b w:val="0"/>
      </w:rPr>
    </w:lvl>
    <w:lvl w:ilvl="1" w:tplc="4FC24AC2" w:tentative="1">
      <w:start w:val="1"/>
      <w:numFmt w:val="lowerLetter"/>
      <w:lvlText w:val="%2."/>
      <w:lvlJc w:val="left"/>
      <w:pPr>
        <w:ind w:left="1800" w:hanging="360"/>
      </w:pPr>
    </w:lvl>
    <w:lvl w:ilvl="2" w:tplc="6F462B5A" w:tentative="1">
      <w:start w:val="1"/>
      <w:numFmt w:val="lowerRoman"/>
      <w:lvlText w:val="%3."/>
      <w:lvlJc w:val="right"/>
      <w:pPr>
        <w:ind w:left="2520" w:hanging="180"/>
      </w:pPr>
    </w:lvl>
    <w:lvl w:ilvl="3" w:tplc="806AEAF0" w:tentative="1">
      <w:start w:val="1"/>
      <w:numFmt w:val="decimal"/>
      <w:lvlText w:val="%4."/>
      <w:lvlJc w:val="left"/>
      <w:pPr>
        <w:ind w:left="3240" w:hanging="360"/>
      </w:pPr>
    </w:lvl>
    <w:lvl w:ilvl="4" w:tplc="7BC00926" w:tentative="1">
      <w:start w:val="1"/>
      <w:numFmt w:val="lowerLetter"/>
      <w:lvlText w:val="%5."/>
      <w:lvlJc w:val="left"/>
      <w:pPr>
        <w:ind w:left="3960" w:hanging="360"/>
      </w:pPr>
    </w:lvl>
    <w:lvl w:ilvl="5" w:tplc="3A6247F6" w:tentative="1">
      <w:start w:val="1"/>
      <w:numFmt w:val="lowerRoman"/>
      <w:lvlText w:val="%6."/>
      <w:lvlJc w:val="right"/>
      <w:pPr>
        <w:ind w:left="4680" w:hanging="180"/>
      </w:pPr>
    </w:lvl>
    <w:lvl w:ilvl="6" w:tplc="0BC4C98A" w:tentative="1">
      <w:start w:val="1"/>
      <w:numFmt w:val="decimal"/>
      <w:lvlText w:val="%7."/>
      <w:lvlJc w:val="left"/>
      <w:pPr>
        <w:ind w:left="5400" w:hanging="360"/>
      </w:pPr>
    </w:lvl>
    <w:lvl w:ilvl="7" w:tplc="339A1E5C" w:tentative="1">
      <w:start w:val="1"/>
      <w:numFmt w:val="lowerLetter"/>
      <w:lvlText w:val="%8."/>
      <w:lvlJc w:val="left"/>
      <w:pPr>
        <w:ind w:left="6120" w:hanging="360"/>
      </w:pPr>
    </w:lvl>
    <w:lvl w:ilvl="8" w:tplc="1F00A8AE" w:tentative="1">
      <w:start w:val="1"/>
      <w:numFmt w:val="lowerRoman"/>
      <w:lvlText w:val="%9."/>
      <w:lvlJc w:val="right"/>
      <w:pPr>
        <w:ind w:left="6840" w:hanging="180"/>
      </w:pPr>
    </w:lvl>
  </w:abstractNum>
  <w:abstractNum w:abstractNumId="9" w15:restartNumberingAfterBreak="0">
    <w:nsid w:val="0C9E3ED0"/>
    <w:multiLevelType w:val="hybridMultilevel"/>
    <w:tmpl w:val="739C866A"/>
    <w:lvl w:ilvl="0" w:tplc="2B46A5CA">
      <w:start w:val="1"/>
      <w:numFmt w:val="lowerRoman"/>
      <w:lvlText w:val="%1."/>
      <w:lvlJc w:val="right"/>
      <w:pPr>
        <w:ind w:left="2340" w:hanging="360"/>
      </w:pPr>
      <w:rPr>
        <w:b w:val="0"/>
      </w:rPr>
    </w:lvl>
    <w:lvl w:ilvl="1" w:tplc="B55876FC" w:tentative="1">
      <w:start w:val="1"/>
      <w:numFmt w:val="lowerLetter"/>
      <w:lvlText w:val="%2."/>
      <w:lvlJc w:val="left"/>
      <w:pPr>
        <w:ind w:left="3060" w:hanging="360"/>
      </w:pPr>
    </w:lvl>
    <w:lvl w:ilvl="2" w:tplc="159EBF02" w:tentative="1">
      <w:start w:val="1"/>
      <w:numFmt w:val="lowerRoman"/>
      <w:lvlText w:val="%3."/>
      <w:lvlJc w:val="right"/>
      <w:pPr>
        <w:ind w:left="3780" w:hanging="180"/>
      </w:pPr>
    </w:lvl>
    <w:lvl w:ilvl="3" w:tplc="38706BEE" w:tentative="1">
      <w:start w:val="1"/>
      <w:numFmt w:val="decimal"/>
      <w:lvlText w:val="%4."/>
      <w:lvlJc w:val="left"/>
      <w:pPr>
        <w:ind w:left="4500" w:hanging="360"/>
      </w:pPr>
    </w:lvl>
    <w:lvl w:ilvl="4" w:tplc="ECA6368A" w:tentative="1">
      <w:start w:val="1"/>
      <w:numFmt w:val="lowerLetter"/>
      <w:lvlText w:val="%5."/>
      <w:lvlJc w:val="left"/>
      <w:pPr>
        <w:ind w:left="5220" w:hanging="360"/>
      </w:pPr>
    </w:lvl>
    <w:lvl w:ilvl="5" w:tplc="A9D62AAE" w:tentative="1">
      <w:start w:val="1"/>
      <w:numFmt w:val="lowerRoman"/>
      <w:lvlText w:val="%6."/>
      <w:lvlJc w:val="right"/>
      <w:pPr>
        <w:ind w:left="5940" w:hanging="180"/>
      </w:pPr>
    </w:lvl>
    <w:lvl w:ilvl="6" w:tplc="9B905428" w:tentative="1">
      <w:start w:val="1"/>
      <w:numFmt w:val="decimal"/>
      <w:lvlText w:val="%7."/>
      <w:lvlJc w:val="left"/>
      <w:pPr>
        <w:ind w:left="6660" w:hanging="360"/>
      </w:pPr>
    </w:lvl>
    <w:lvl w:ilvl="7" w:tplc="DCC6144E" w:tentative="1">
      <w:start w:val="1"/>
      <w:numFmt w:val="lowerLetter"/>
      <w:lvlText w:val="%8."/>
      <w:lvlJc w:val="left"/>
      <w:pPr>
        <w:ind w:left="7380" w:hanging="360"/>
      </w:pPr>
    </w:lvl>
    <w:lvl w:ilvl="8" w:tplc="56C07FF2" w:tentative="1">
      <w:start w:val="1"/>
      <w:numFmt w:val="lowerRoman"/>
      <w:lvlText w:val="%9."/>
      <w:lvlJc w:val="right"/>
      <w:pPr>
        <w:ind w:left="8100" w:hanging="180"/>
      </w:pPr>
    </w:lvl>
  </w:abstractNum>
  <w:abstractNum w:abstractNumId="10" w15:restartNumberingAfterBreak="0">
    <w:nsid w:val="13195353"/>
    <w:multiLevelType w:val="multilevel"/>
    <w:tmpl w:val="B7362C4E"/>
    <w:name w:val="Stip"/>
    <w:lvl w:ilvl="0">
      <w:start w:val="1"/>
      <w:numFmt w:val="none"/>
      <w:suff w:val="nothing"/>
      <w:lvlText w:val=""/>
      <w:lvlJc w:val="left"/>
      <w:pPr>
        <w:tabs>
          <w:tab w:val="num" w:pos="0"/>
        </w:tabs>
        <w:ind w:left="0" w:firstLine="0"/>
      </w:pPr>
      <w:rPr>
        <w:rFonts w:ascii="Times New Roman Bold" w:hAnsi="Times New Roman Bold"/>
        <w:b/>
        <w:i w:val="0"/>
        <w:caps/>
        <w:smallCaps w:val="0"/>
        <w:color w:val="auto"/>
        <w:sz w:val="24"/>
        <w:u w:val="single"/>
      </w:rPr>
    </w:lvl>
    <w:lvl w:ilvl="1">
      <w:start w:val="1"/>
      <w:numFmt w:val="upperLetter"/>
      <w:lvlText w:val="%2."/>
      <w:lvlJc w:val="left"/>
      <w:pPr>
        <w:tabs>
          <w:tab w:val="num" w:pos="1440"/>
        </w:tabs>
        <w:ind w:left="0" w:firstLine="720"/>
      </w:pPr>
      <w:rPr>
        <w:rFonts w:ascii="Times New Roman" w:hAnsi="Times New Roman" w:cs="Times New Roman"/>
        <w:b w:val="0"/>
        <w:i w:val="0"/>
        <w:caps w:val="0"/>
        <w:color w:val="auto"/>
        <w:sz w:val="24"/>
        <w:szCs w:val="24"/>
        <w:u w:val="none"/>
      </w:rPr>
    </w:lvl>
    <w:lvl w:ilvl="2">
      <w:start w:val="1"/>
      <w:numFmt w:val="decimal"/>
      <w:lvlRestart w:val="0"/>
      <w:lvlText w:val="%3."/>
      <w:lvlJc w:val="left"/>
      <w:pPr>
        <w:tabs>
          <w:tab w:val="num" w:pos="1440"/>
        </w:tabs>
        <w:ind w:left="0" w:firstLine="720"/>
      </w:pPr>
      <w:rPr>
        <w:rFonts w:ascii="Times New Roman" w:hAnsi="Times New Roman" w:cs="Times New Roman"/>
        <w:b w:val="0"/>
        <w:i w:val="0"/>
        <w:caps w:val="0"/>
        <w:color w:val="auto"/>
        <w:sz w:val="24"/>
        <w:szCs w:val="24"/>
        <w:u w:val="none"/>
      </w:rPr>
    </w:lvl>
    <w:lvl w:ilvl="3">
      <w:start w:val="1"/>
      <w:numFmt w:val="lowerLetter"/>
      <w:lvlText w:val="(%4)"/>
      <w:lvlJc w:val="left"/>
      <w:pPr>
        <w:tabs>
          <w:tab w:val="num" w:pos="2070"/>
        </w:tabs>
        <w:ind w:left="-90" w:firstLine="1440"/>
      </w:pPr>
      <w:rPr>
        <w:rFonts w:ascii="Times New Roman" w:hAnsi="Times New Roman" w:cs="Times New Roman"/>
        <w:b w:val="0"/>
        <w:i w:val="0"/>
        <w:caps w:val="0"/>
        <w:color w:val="auto"/>
        <w:sz w:val="24"/>
        <w:szCs w:val="24"/>
        <w:u w:val="none"/>
      </w:rPr>
    </w:lvl>
    <w:lvl w:ilvl="4">
      <w:start w:val="1"/>
      <w:numFmt w:val="lowerRoman"/>
      <w:lvlText w:val="(%5)"/>
      <w:lvlJc w:val="left"/>
      <w:pPr>
        <w:tabs>
          <w:tab w:val="num" w:pos="2880"/>
        </w:tabs>
        <w:ind w:left="0" w:firstLine="2160"/>
      </w:pPr>
      <w:rPr>
        <w:rFonts w:ascii="Times New Roman" w:hAnsi="Times New Roman" w:cs="Times New Roman"/>
        <w:b w:val="0"/>
        <w:i w:val="0"/>
        <w:caps w:val="0"/>
        <w:color w:val="auto"/>
        <w:sz w:val="24"/>
        <w:u w:val="none"/>
      </w:rPr>
    </w:lvl>
    <w:lvl w:ilvl="5">
      <w:start w:val="1"/>
      <w:numFmt w:val="upperRoman"/>
      <w:lvlText w:val="(%6)"/>
      <w:lvlJc w:val="left"/>
      <w:pPr>
        <w:tabs>
          <w:tab w:val="num" w:pos="2160"/>
        </w:tabs>
        <w:ind w:left="3600" w:hanging="720"/>
      </w:pPr>
      <w:rPr>
        <w:caps w:val="0"/>
        <w:color w:val="auto"/>
        <w:u w:val="none"/>
      </w:rPr>
    </w:lvl>
    <w:lvl w:ilvl="6">
      <w:start w:val="1"/>
      <w:numFmt w:val="upperLetter"/>
      <w:lvlText w:val="(%7)"/>
      <w:lvlJc w:val="left"/>
      <w:pPr>
        <w:tabs>
          <w:tab w:val="num" w:pos="2520"/>
        </w:tabs>
        <w:ind w:left="4320" w:hanging="720"/>
      </w:pPr>
      <w:rPr>
        <w:caps w:val="0"/>
        <w:color w:val="auto"/>
        <w:u w:val="none"/>
      </w:rPr>
    </w:lvl>
    <w:lvl w:ilvl="7">
      <w:start w:val="1"/>
      <w:numFmt w:val="decimal"/>
      <w:lvlText w:val="(%8)"/>
      <w:lvlJc w:val="left"/>
      <w:pPr>
        <w:tabs>
          <w:tab w:val="num" w:pos="2880"/>
        </w:tabs>
        <w:ind w:left="5040" w:hanging="720"/>
      </w:pPr>
      <w:rPr>
        <w:caps w:val="0"/>
        <w:color w:val="auto"/>
        <w:u w:val="none"/>
      </w:rPr>
    </w:lvl>
    <w:lvl w:ilvl="8">
      <w:start w:val="1"/>
      <w:numFmt w:val="lowerLetter"/>
      <w:lvlText w:val="%9)"/>
      <w:lvlJc w:val="left"/>
      <w:pPr>
        <w:tabs>
          <w:tab w:val="num" w:pos="3240"/>
        </w:tabs>
        <w:ind w:left="5760" w:hanging="720"/>
      </w:pPr>
      <w:rPr>
        <w:caps w:val="0"/>
        <w:color w:val="auto"/>
        <w:u w:val="none"/>
      </w:rPr>
    </w:lvl>
  </w:abstractNum>
  <w:abstractNum w:abstractNumId="11" w15:restartNumberingAfterBreak="0">
    <w:nsid w:val="30BE1D11"/>
    <w:multiLevelType w:val="hybridMultilevel"/>
    <w:tmpl w:val="A87E7B8C"/>
    <w:lvl w:ilvl="0" w:tplc="1688B732">
      <w:start w:val="1"/>
      <w:numFmt w:val="decimal"/>
      <w:lvlText w:val="%1."/>
      <w:lvlJc w:val="left"/>
      <w:pPr>
        <w:ind w:left="720" w:hanging="360"/>
      </w:pPr>
    </w:lvl>
    <w:lvl w:ilvl="1" w:tplc="702E1A44" w:tentative="1">
      <w:start w:val="1"/>
      <w:numFmt w:val="lowerLetter"/>
      <w:lvlText w:val="%2."/>
      <w:lvlJc w:val="left"/>
      <w:pPr>
        <w:ind w:left="1440" w:hanging="360"/>
      </w:pPr>
    </w:lvl>
    <w:lvl w:ilvl="2" w:tplc="27DA395A" w:tentative="1">
      <w:start w:val="1"/>
      <w:numFmt w:val="lowerRoman"/>
      <w:lvlText w:val="%3."/>
      <w:lvlJc w:val="right"/>
      <w:pPr>
        <w:ind w:left="2160" w:hanging="180"/>
      </w:pPr>
    </w:lvl>
    <w:lvl w:ilvl="3" w:tplc="79567068" w:tentative="1">
      <w:start w:val="1"/>
      <w:numFmt w:val="decimal"/>
      <w:lvlText w:val="%4."/>
      <w:lvlJc w:val="left"/>
      <w:pPr>
        <w:ind w:left="2880" w:hanging="360"/>
      </w:pPr>
    </w:lvl>
    <w:lvl w:ilvl="4" w:tplc="A5DEE680" w:tentative="1">
      <w:start w:val="1"/>
      <w:numFmt w:val="lowerLetter"/>
      <w:lvlText w:val="%5."/>
      <w:lvlJc w:val="left"/>
      <w:pPr>
        <w:ind w:left="3600" w:hanging="360"/>
      </w:pPr>
    </w:lvl>
    <w:lvl w:ilvl="5" w:tplc="4730922C" w:tentative="1">
      <w:start w:val="1"/>
      <w:numFmt w:val="lowerRoman"/>
      <w:lvlText w:val="%6."/>
      <w:lvlJc w:val="right"/>
      <w:pPr>
        <w:ind w:left="4320" w:hanging="180"/>
      </w:pPr>
    </w:lvl>
    <w:lvl w:ilvl="6" w:tplc="06ECF3BC" w:tentative="1">
      <w:start w:val="1"/>
      <w:numFmt w:val="decimal"/>
      <w:lvlText w:val="%7."/>
      <w:lvlJc w:val="left"/>
      <w:pPr>
        <w:ind w:left="5040" w:hanging="360"/>
      </w:pPr>
    </w:lvl>
    <w:lvl w:ilvl="7" w:tplc="317234EC" w:tentative="1">
      <w:start w:val="1"/>
      <w:numFmt w:val="lowerLetter"/>
      <w:lvlText w:val="%8."/>
      <w:lvlJc w:val="left"/>
      <w:pPr>
        <w:ind w:left="5760" w:hanging="360"/>
      </w:pPr>
    </w:lvl>
    <w:lvl w:ilvl="8" w:tplc="BA4C70A8" w:tentative="1">
      <w:start w:val="1"/>
      <w:numFmt w:val="lowerRoman"/>
      <w:lvlText w:val="%9."/>
      <w:lvlJc w:val="right"/>
      <w:pPr>
        <w:ind w:left="6480" w:hanging="180"/>
      </w:pPr>
    </w:lvl>
  </w:abstractNum>
  <w:abstractNum w:abstractNumId="12" w15:restartNumberingAfterBreak="0">
    <w:nsid w:val="471D6FCE"/>
    <w:multiLevelType w:val="multilevel"/>
    <w:tmpl w:val="C94627EE"/>
    <w:lvl w:ilvl="0">
      <w:start w:val="1"/>
      <w:numFmt w:val="decimal"/>
      <w:pStyle w:val="ListTextNumber1"/>
      <w:lvlText w:val="%1."/>
      <w:lvlJc w:val="right"/>
      <w:pPr>
        <w:tabs>
          <w:tab w:val="num" w:pos="576"/>
        </w:tabs>
        <w:ind w:left="0" w:firstLine="288"/>
      </w:pPr>
      <w:rPr>
        <w:rFonts w:hint="default"/>
      </w:rPr>
    </w:lvl>
    <w:lvl w:ilvl="1">
      <w:start w:val="1"/>
      <w:numFmt w:val="lowerLetter"/>
      <w:pStyle w:val="ListTextNumbera"/>
      <w:lvlText w:val="%2."/>
      <w:lvlJc w:val="right"/>
      <w:pPr>
        <w:tabs>
          <w:tab w:val="num" w:pos="1339"/>
        </w:tabs>
        <w:ind w:left="0" w:firstLine="907"/>
      </w:pPr>
      <w:rPr>
        <w:rFonts w:hint="default"/>
      </w:rPr>
    </w:lvl>
    <w:lvl w:ilvl="2">
      <w:start w:val="1"/>
      <w:numFmt w:val="lowerRoman"/>
      <w:pStyle w:val="ListTextNumberi"/>
      <w:lvlText w:val="%3."/>
      <w:lvlJc w:val="right"/>
      <w:pPr>
        <w:tabs>
          <w:tab w:val="num" w:pos="1771"/>
        </w:tabs>
        <w:ind w:left="1771" w:hanging="720"/>
      </w:pPr>
      <w:rPr>
        <w:rFonts w:hint="default"/>
      </w:rPr>
    </w:lvl>
    <w:lvl w:ilvl="3">
      <w:start w:val="1"/>
      <w:numFmt w:val="decimal"/>
      <w:lvlText w:val="(%4)"/>
      <w:lvlJc w:val="left"/>
      <w:pPr>
        <w:tabs>
          <w:tab w:val="num" w:pos="2491"/>
        </w:tabs>
        <w:ind w:left="2491" w:hanging="720"/>
      </w:pPr>
      <w:rPr>
        <w:rFonts w:hint="default"/>
      </w:rPr>
    </w:lvl>
    <w:lvl w:ilvl="4">
      <w:start w:val="1"/>
      <w:numFmt w:val="lowerLetter"/>
      <w:lvlText w:val="(%5)"/>
      <w:lvlJc w:val="left"/>
      <w:pPr>
        <w:tabs>
          <w:tab w:val="num" w:pos="3211"/>
        </w:tabs>
        <w:ind w:left="3211" w:hanging="720"/>
      </w:pPr>
      <w:rPr>
        <w:rFonts w:hint="default"/>
      </w:rPr>
    </w:lvl>
    <w:lvl w:ilvl="5">
      <w:start w:val="1"/>
      <w:numFmt w:val="lowerRoman"/>
      <w:lvlText w:val="(%6)"/>
      <w:lvlJc w:val="left"/>
      <w:pPr>
        <w:tabs>
          <w:tab w:val="num" w:pos="3931"/>
        </w:tabs>
        <w:ind w:left="3931" w:hanging="720"/>
      </w:pPr>
      <w:rPr>
        <w:rFonts w:hint="default"/>
      </w:rPr>
    </w:lvl>
    <w:lvl w:ilvl="6">
      <w:start w:val="1"/>
      <w:numFmt w:val="decimal"/>
      <w:lvlText w:val="%7."/>
      <w:lvlJc w:val="left"/>
      <w:pPr>
        <w:tabs>
          <w:tab w:val="num" w:pos="4651"/>
        </w:tabs>
        <w:ind w:left="4651" w:hanging="720"/>
      </w:pPr>
      <w:rPr>
        <w:rFonts w:hint="default"/>
      </w:rPr>
    </w:lvl>
    <w:lvl w:ilvl="7">
      <w:start w:val="1"/>
      <w:numFmt w:val="lowerLetter"/>
      <w:lvlText w:val="%8."/>
      <w:lvlJc w:val="left"/>
      <w:pPr>
        <w:tabs>
          <w:tab w:val="num" w:pos="5371"/>
        </w:tabs>
        <w:ind w:left="5371" w:hanging="720"/>
      </w:pPr>
      <w:rPr>
        <w:rFonts w:hint="default"/>
      </w:rPr>
    </w:lvl>
    <w:lvl w:ilvl="8">
      <w:start w:val="1"/>
      <w:numFmt w:val="lowerRoman"/>
      <w:lvlText w:val="%9."/>
      <w:lvlJc w:val="left"/>
      <w:pPr>
        <w:tabs>
          <w:tab w:val="num" w:pos="6091"/>
        </w:tabs>
        <w:ind w:left="6091" w:hanging="720"/>
      </w:pPr>
      <w:rPr>
        <w:rFonts w:hint="default"/>
      </w:rPr>
    </w:lvl>
  </w:abstractNum>
  <w:abstractNum w:abstractNumId="13" w15:restartNumberingAfterBreak="0">
    <w:nsid w:val="4E3229ED"/>
    <w:multiLevelType w:val="hybridMultilevel"/>
    <w:tmpl w:val="52620E92"/>
    <w:lvl w:ilvl="0" w:tplc="76562EF0">
      <w:start w:val="1"/>
      <w:numFmt w:val="bullet"/>
      <w:lvlText w:val=""/>
      <w:lvlJc w:val="left"/>
      <w:pPr>
        <w:ind w:left="720" w:hanging="360"/>
      </w:pPr>
      <w:rPr>
        <w:rFonts w:ascii="Symbol" w:hAnsi="Symbol" w:hint="default"/>
      </w:rPr>
    </w:lvl>
    <w:lvl w:ilvl="1" w:tplc="30823024">
      <w:start w:val="1"/>
      <w:numFmt w:val="bullet"/>
      <w:lvlText w:val="o"/>
      <w:lvlJc w:val="left"/>
      <w:pPr>
        <w:ind w:left="1440" w:hanging="360"/>
      </w:pPr>
      <w:rPr>
        <w:rFonts w:ascii="Courier New" w:hAnsi="Courier New" w:cs="Courier New" w:hint="default"/>
      </w:rPr>
    </w:lvl>
    <w:lvl w:ilvl="2" w:tplc="3E56FD4E">
      <w:start w:val="1"/>
      <w:numFmt w:val="bullet"/>
      <w:lvlText w:val=""/>
      <w:lvlJc w:val="left"/>
      <w:pPr>
        <w:ind w:left="2160" w:hanging="360"/>
      </w:pPr>
      <w:rPr>
        <w:rFonts w:ascii="Wingdings" w:hAnsi="Wingdings" w:hint="default"/>
      </w:rPr>
    </w:lvl>
    <w:lvl w:ilvl="3" w:tplc="46DE05F2">
      <w:start w:val="1"/>
      <w:numFmt w:val="bullet"/>
      <w:lvlText w:val=""/>
      <w:lvlJc w:val="left"/>
      <w:pPr>
        <w:ind w:left="2880" w:hanging="360"/>
      </w:pPr>
      <w:rPr>
        <w:rFonts w:ascii="Symbol" w:hAnsi="Symbol" w:hint="default"/>
      </w:rPr>
    </w:lvl>
    <w:lvl w:ilvl="4" w:tplc="615C67EC">
      <w:start w:val="1"/>
      <w:numFmt w:val="bullet"/>
      <w:lvlText w:val="o"/>
      <w:lvlJc w:val="left"/>
      <w:pPr>
        <w:ind w:left="3600" w:hanging="360"/>
      </w:pPr>
      <w:rPr>
        <w:rFonts w:ascii="Courier New" w:hAnsi="Courier New" w:cs="Courier New" w:hint="default"/>
      </w:rPr>
    </w:lvl>
    <w:lvl w:ilvl="5" w:tplc="1EACFC18">
      <w:start w:val="1"/>
      <w:numFmt w:val="bullet"/>
      <w:lvlText w:val=""/>
      <w:lvlJc w:val="left"/>
      <w:pPr>
        <w:ind w:left="4320" w:hanging="360"/>
      </w:pPr>
      <w:rPr>
        <w:rFonts w:ascii="Wingdings" w:hAnsi="Wingdings" w:hint="default"/>
      </w:rPr>
    </w:lvl>
    <w:lvl w:ilvl="6" w:tplc="AFD2B0B2">
      <w:start w:val="1"/>
      <w:numFmt w:val="bullet"/>
      <w:lvlText w:val=""/>
      <w:lvlJc w:val="left"/>
      <w:pPr>
        <w:ind w:left="5040" w:hanging="360"/>
      </w:pPr>
      <w:rPr>
        <w:rFonts w:ascii="Symbol" w:hAnsi="Symbol" w:hint="default"/>
      </w:rPr>
    </w:lvl>
    <w:lvl w:ilvl="7" w:tplc="48288070">
      <w:start w:val="1"/>
      <w:numFmt w:val="bullet"/>
      <w:lvlText w:val="o"/>
      <w:lvlJc w:val="left"/>
      <w:pPr>
        <w:ind w:left="5760" w:hanging="360"/>
      </w:pPr>
      <w:rPr>
        <w:rFonts w:ascii="Courier New" w:hAnsi="Courier New" w:cs="Courier New" w:hint="default"/>
      </w:rPr>
    </w:lvl>
    <w:lvl w:ilvl="8" w:tplc="E8663A44">
      <w:start w:val="1"/>
      <w:numFmt w:val="bullet"/>
      <w:lvlText w:val=""/>
      <w:lvlJc w:val="left"/>
      <w:pPr>
        <w:ind w:left="6480" w:hanging="360"/>
      </w:pPr>
      <w:rPr>
        <w:rFonts w:ascii="Wingdings" w:hAnsi="Wingdings" w:hint="default"/>
      </w:rPr>
    </w:lvl>
  </w:abstractNum>
  <w:abstractNum w:abstractNumId="14" w15:restartNumberingAfterBreak="0">
    <w:nsid w:val="54B74372"/>
    <w:multiLevelType w:val="hybridMultilevel"/>
    <w:tmpl w:val="65305406"/>
    <w:lvl w:ilvl="0" w:tplc="CA70AE26">
      <w:start w:val="1"/>
      <w:numFmt w:val="upperLetter"/>
      <w:pStyle w:val="Whereas"/>
      <w:lvlText w:val="%1."/>
      <w:lvlJc w:val="left"/>
      <w:pPr>
        <w:tabs>
          <w:tab w:val="num" w:pos="1440"/>
        </w:tabs>
        <w:ind w:firstLine="720"/>
      </w:pPr>
      <w:rPr>
        <w:rFonts w:hint="default"/>
      </w:rPr>
    </w:lvl>
    <w:lvl w:ilvl="1" w:tplc="5E9A94A0" w:tentative="1">
      <w:start w:val="1"/>
      <w:numFmt w:val="lowerLetter"/>
      <w:lvlText w:val="%2."/>
      <w:lvlJc w:val="left"/>
      <w:pPr>
        <w:tabs>
          <w:tab w:val="num" w:pos="1440"/>
        </w:tabs>
        <w:ind w:left="1440" w:hanging="360"/>
      </w:pPr>
    </w:lvl>
    <w:lvl w:ilvl="2" w:tplc="4686E12A" w:tentative="1">
      <w:start w:val="1"/>
      <w:numFmt w:val="lowerRoman"/>
      <w:lvlText w:val="%3."/>
      <w:lvlJc w:val="right"/>
      <w:pPr>
        <w:tabs>
          <w:tab w:val="num" w:pos="2160"/>
        </w:tabs>
        <w:ind w:left="2160" w:hanging="180"/>
      </w:pPr>
    </w:lvl>
    <w:lvl w:ilvl="3" w:tplc="906CECB8" w:tentative="1">
      <w:start w:val="1"/>
      <w:numFmt w:val="decimal"/>
      <w:lvlText w:val="%4."/>
      <w:lvlJc w:val="left"/>
      <w:pPr>
        <w:tabs>
          <w:tab w:val="num" w:pos="2880"/>
        </w:tabs>
        <w:ind w:left="2880" w:hanging="360"/>
      </w:pPr>
    </w:lvl>
    <w:lvl w:ilvl="4" w:tplc="E5CA0124" w:tentative="1">
      <w:start w:val="1"/>
      <w:numFmt w:val="lowerLetter"/>
      <w:lvlText w:val="%5."/>
      <w:lvlJc w:val="left"/>
      <w:pPr>
        <w:tabs>
          <w:tab w:val="num" w:pos="3600"/>
        </w:tabs>
        <w:ind w:left="3600" w:hanging="360"/>
      </w:pPr>
    </w:lvl>
    <w:lvl w:ilvl="5" w:tplc="0358A1A4" w:tentative="1">
      <w:start w:val="1"/>
      <w:numFmt w:val="lowerRoman"/>
      <w:lvlText w:val="%6."/>
      <w:lvlJc w:val="right"/>
      <w:pPr>
        <w:tabs>
          <w:tab w:val="num" w:pos="4320"/>
        </w:tabs>
        <w:ind w:left="4320" w:hanging="180"/>
      </w:pPr>
    </w:lvl>
    <w:lvl w:ilvl="6" w:tplc="87566CC6" w:tentative="1">
      <w:start w:val="1"/>
      <w:numFmt w:val="decimal"/>
      <w:lvlText w:val="%7."/>
      <w:lvlJc w:val="left"/>
      <w:pPr>
        <w:tabs>
          <w:tab w:val="num" w:pos="5040"/>
        </w:tabs>
        <w:ind w:left="5040" w:hanging="360"/>
      </w:pPr>
    </w:lvl>
    <w:lvl w:ilvl="7" w:tplc="73E0C668" w:tentative="1">
      <w:start w:val="1"/>
      <w:numFmt w:val="lowerLetter"/>
      <w:lvlText w:val="%8."/>
      <w:lvlJc w:val="left"/>
      <w:pPr>
        <w:tabs>
          <w:tab w:val="num" w:pos="5760"/>
        </w:tabs>
        <w:ind w:left="5760" w:hanging="360"/>
      </w:pPr>
    </w:lvl>
    <w:lvl w:ilvl="8" w:tplc="2C6CB876" w:tentative="1">
      <w:start w:val="1"/>
      <w:numFmt w:val="lowerRoman"/>
      <w:lvlText w:val="%9."/>
      <w:lvlJc w:val="right"/>
      <w:pPr>
        <w:tabs>
          <w:tab w:val="num" w:pos="6480"/>
        </w:tabs>
        <w:ind w:left="6480" w:hanging="180"/>
      </w:pPr>
    </w:lvl>
  </w:abstractNum>
  <w:abstractNum w:abstractNumId="15" w15:restartNumberingAfterBreak="0">
    <w:nsid w:val="579C3CD2"/>
    <w:multiLevelType w:val="multilevel"/>
    <w:tmpl w:val="FD5A0BAA"/>
    <w:lvl w:ilvl="0">
      <w:start w:val="1"/>
      <w:numFmt w:val="decimal"/>
      <w:pStyle w:val="Para-List1"/>
      <w:lvlText w:val="%1."/>
      <w:lvlJc w:val="left"/>
      <w:pPr>
        <w:tabs>
          <w:tab w:val="num" w:pos="1440"/>
        </w:tabs>
        <w:ind w:left="0" w:firstLine="720"/>
      </w:pPr>
      <w:rPr>
        <w:rFonts w:hint="default"/>
      </w:rPr>
    </w:lvl>
    <w:lvl w:ilvl="1">
      <w:start w:val="1"/>
      <w:numFmt w:val="lowerLetter"/>
      <w:pStyle w:val="Para-List2"/>
      <w:lvlText w:val="(%2)"/>
      <w:lvlJc w:val="left"/>
      <w:pPr>
        <w:tabs>
          <w:tab w:val="num" w:pos="2160"/>
        </w:tabs>
        <w:ind w:left="0" w:firstLine="1440"/>
      </w:pPr>
      <w:rPr>
        <w:rFonts w:hint="default"/>
      </w:rPr>
    </w:lvl>
    <w:lvl w:ilvl="2">
      <w:start w:val="1"/>
      <w:numFmt w:val="lowerRoman"/>
      <w:pStyle w:val="Para-List1"/>
      <w:lvlText w:val="(%3)"/>
      <w:lvlJc w:val="left"/>
      <w:pPr>
        <w:tabs>
          <w:tab w:val="num" w:pos="2880"/>
        </w:tabs>
        <w:ind w:left="0" w:firstLine="2160"/>
      </w:pPr>
      <w:rPr>
        <w:rFonts w:hint="default"/>
      </w:rPr>
    </w:lvl>
    <w:lvl w:ilvl="3">
      <w:start w:val="1"/>
      <w:numFmt w:val="decimal"/>
      <w:pStyle w:val="Para-List2"/>
      <w:lvlText w:val="%4)"/>
      <w:lvlJc w:val="left"/>
      <w:pPr>
        <w:tabs>
          <w:tab w:val="num" w:pos="3600"/>
        </w:tabs>
        <w:ind w:left="0" w:firstLine="2880"/>
      </w:pPr>
      <w:rPr>
        <w:rFonts w:hint="default"/>
      </w:rPr>
    </w:lvl>
    <w:lvl w:ilvl="4">
      <w:start w:val="1"/>
      <w:numFmt w:val="decimal"/>
      <w:lvlText w:val="(%5)"/>
      <w:lvlJc w:val="left"/>
      <w:pPr>
        <w:tabs>
          <w:tab w:val="num" w:pos="2520"/>
        </w:tabs>
        <w:ind w:left="2160" w:firstLine="0"/>
      </w:pPr>
      <w:rPr>
        <w:rFonts w:hint="default"/>
      </w:rPr>
    </w:lvl>
    <w:lvl w:ilvl="5">
      <w:start w:val="1"/>
      <w:numFmt w:val="lowerLetter"/>
      <w:lvlText w:val="(%6)"/>
      <w:lvlJc w:val="left"/>
      <w:pPr>
        <w:tabs>
          <w:tab w:val="num" w:pos="3240"/>
        </w:tabs>
        <w:ind w:left="2880" w:firstLine="0"/>
      </w:pPr>
      <w:rPr>
        <w:rFonts w:hint="default"/>
      </w:rPr>
    </w:lvl>
    <w:lvl w:ilvl="6">
      <w:start w:val="1"/>
      <w:numFmt w:val="lowerRoman"/>
      <w:lvlText w:val="(%7)"/>
      <w:lvlJc w:val="left"/>
      <w:pPr>
        <w:tabs>
          <w:tab w:val="num" w:pos="3960"/>
        </w:tabs>
        <w:ind w:left="3600" w:firstLine="0"/>
      </w:pPr>
      <w:rPr>
        <w:rFonts w:hint="default"/>
      </w:rPr>
    </w:lvl>
    <w:lvl w:ilvl="7">
      <w:start w:val="1"/>
      <w:numFmt w:val="lowerLetter"/>
      <w:lvlText w:val="(%8)"/>
      <w:lvlJc w:val="left"/>
      <w:pPr>
        <w:tabs>
          <w:tab w:val="num" w:pos="4680"/>
        </w:tabs>
        <w:ind w:left="4320" w:firstLine="0"/>
      </w:pPr>
      <w:rPr>
        <w:rFonts w:hint="default"/>
      </w:rPr>
    </w:lvl>
    <w:lvl w:ilvl="8">
      <w:start w:val="1"/>
      <w:numFmt w:val="lowerRoman"/>
      <w:lvlText w:val="(%9)"/>
      <w:lvlJc w:val="left"/>
      <w:pPr>
        <w:tabs>
          <w:tab w:val="num" w:pos="5400"/>
        </w:tabs>
        <w:ind w:left="5040" w:firstLine="0"/>
      </w:pPr>
      <w:rPr>
        <w:rFonts w:hint="default"/>
      </w:rPr>
    </w:lvl>
  </w:abstractNum>
  <w:abstractNum w:abstractNumId="16" w15:restartNumberingAfterBreak="0">
    <w:nsid w:val="5B8C6249"/>
    <w:multiLevelType w:val="hybridMultilevel"/>
    <w:tmpl w:val="56742BAC"/>
    <w:lvl w:ilvl="0" w:tplc="9F54FB92">
      <w:start w:val="1"/>
      <w:numFmt w:val="upperLetter"/>
      <w:lvlText w:val="%1."/>
      <w:lvlJc w:val="left"/>
      <w:pPr>
        <w:ind w:left="3240" w:hanging="360"/>
      </w:pPr>
      <w:rPr>
        <w:rFonts w:hint="default"/>
        <w:b w:val="0"/>
        <w:bCs/>
      </w:rPr>
    </w:lvl>
    <w:lvl w:ilvl="1" w:tplc="D814227A" w:tentative="1">
      <w:start w:val="1"/>
      <w:numFmt w:val="lowerLetter"/>
      <w:lvlText w:val="%2."/>
      <w:lvlJc w:val="left"/>
      <w:pPr>
        <w:ind w:left="3960" w:hanging="360"/>
      </w:pPr>
    </w:lvl>
    <w:lvl w:ilvl="2" w:tplc="2604D314" w:tentative="1">
      <w:start w:val="1"/>
      <w:numFmt w:val="lowerRoman"/>
      <w:lvlText w:val="%3."/>
      <w:lvlJc w:val="right"/>
      <w:pPr>
        <w:ind w:left="4680" w:hanging="180"/>
      </w:pPr>
    </w:lvl>
    <w:lvl w:ilvl="3" w:tplc="683C5F70" w:tentative="1">
      <w:start w:val="1"/>
      <w:numFmt w:val="decimal"/>
      <w:lvlText w:val="%4."/>
      <w:lvlJc w:val="left"/>
      <w:pPr>
        <w:ind w:left="5400" w:hanging="360"/>
      </w:pPr>
    </w:lvl>
    <w:lvl w:ilvl="4" w:tplc="B2142BB6" w:tentative="1">
      <w:start w:val="1"/>
      <w:numFmt w:val="lowerLetter"/>
      <w:lvlText w:val="%5."/>
      <w:lvlJc w:val="left"/>
      <w:pPr>
        <w:ind w:left="6120" w:hanging="360"/>
      </w:pPr>
    </w:lvl>
    <w:lvl w:ilvl="5" w:tplc="6958B594" w:tentative="1">
      <w:start w:val="1"/>
      <w:numFmt w:val="lowerRoman"/>
      <w:lvlText w:val="%6."/>
      <w:lvlJc w:val="right"/>
      <w:pPr>
        <w:ind w:left="6840" w:hanging="180"/>
      </w:pPr>
    </w:lvl>
    <w:lvl w:ilvl="6" w:tplc="6E02AEAC" w:tentative="1">
      <w:start w:val="1"/>
      <w:numFmt w:val="decimal"/>
      <w:lvlText w:val="%7."/>
      <w:lvlJc w:val="left"/>
      <w:pPr>
        <w:ind w:left="7560" w:hanging="360"/>
      </w:pPr>
    </w:lvl>
    <w:lvl w:ilvl="7" w:tplc="AFE435DA" w:tentative="1">
      <w:start w:val="1"/>
      <w:numFmt w:val="lowerLetter"/>
      <w:lvlText w:val="%8."/>
      <w:lvlJc w:val="left"/>
      <w:pPr>
        <w:ind w:left="8280" w:hanging="360"/>
      </w:pPr>
    </w:lvl>
    <w:lvl w:ilvl="8" w:tplc="5378A048" w:tentative="1">
      <w:start w:val="1"/>
      <w:numFmt w:val="lowerRoman"/>
      <w:lvlText w:val="%9."/>
      <w:lvlJc w:val="right"/>
      <w:pPr>
        <w:ind w:left="9000" w:hanging="180"/>
      </w:pPr>
    </w:lvl>
  </w:abstractNum>
  <w:abstractNum w:abstractNumId="17" w15:restartNumberingAfterBreak="0">
    <w:nsid w:val="63D36679"/>
    <w:multiLevelType w:val="multilevel"/>
    <w:tmpl w:val="4CF02150"/>
    <w:lvl w:ilvl="0">
      <w:start w:val="1"/>
      <w:numFmt w:val="upperLetter"/>
      <w:pStyle w:val="Stip"/>
      <w:lvlText w:val="%1."/>
      <w:lvlJc w:val="left"/>
      <w:pPr>
        <w:tabs>
          <w:tab w:val="num" w:pos="720"/>
        </w:tabs>
        <w:ind w:left="0" w:firstLine="720"/>
      </w:pPr>
      <w:rPr>
        <w:rFonts w:ascii="Times New Roman" w:hAnsi="Times New Roman" w:hint="default"/>
        <w:b w:val="0"/>
        <w:i w:val="0"/>
        <w:sz w:val="24"/>
        <w:szCs w:val="24"/>
        <w:u w:val="none"/>
      </w:rPr>
    </w:lvl>
    <w:lvl w:ilvl="1">
      <w:start w:val="1"/>
      <w:numFmt w:val="decimal"/>
      <w:lvlText w:val="%2."/>
      <w:lvlJc w:val="left"/>
      <w:pPr>
        <w:tabs>
          <w:tab w:val="num" w:pos="1440"/>
        </w:tabs>
        <w:ind w:left="0" w:firstLine="1440"/>
      </w:pPr>
      <w:rPr>
        <w:rFonts w:ascii="Times New Roman" w:hAnsi="Times New Roman" w:hint="default"/>
        <w:strike w:val="0"/>
        <w:sz w:val="24"/>
        <w:u w:val="none"/>
      </w:rPr>
    </w:lvl>
    <w:lvl w:ilvl="2">
      <w:start w:val="1"/>
      <w:numFmt w:val="lowerLetter"/>
      <w:lvlText w:val="%3."/>
      <w:lvlJc w:val="left"/>
      <w:pPr>
        <w:tabs>
          <w:tab w:val="num" w:pos="3240"/>
        </w:tabs>
        <w:ind w:left="360" w:firstLine="1440"/>
      </w:pPr>
      <w:rPr>
        <w:rFonts w:ascii="Times New Roman" w:hAnsi="Times New Roman" w:hint="default"/>
        <w:b w:val="0"/>
        <w:sz w:val="24"/>
        <w:u w:val="none"/>
      </w:rPr>
    </w:lvl>
    <w:lvl w:ilvl="3">
      <w:start w:val="1"/>
      <w:numFmt w:val="lowerRoman"/>
      <w:lvlText w:val="(%4)"/>
      <w:lvlJc w:val="left"/>
      <w:pPr>
        <w:tabs>
          <w:tab w:val="num" w:pos="2880"/>
        </w:tabs>
        <w:ind w:left="720" w:firstLine="1440"/>
      </w:pPr>
      <w:rPr>
        <w:rFonts w:ascii="Times New Roman" w:hAnsi="Times New Roman" w:hint="default"/>
        <w:sz w:val="24"/>
        <w:szCs w:val="24"/>
        <w:u w:val="none"/>
      </w:rPr>
    </w:lvl>
    <w:lvl w:ilvl="4">
      <w:start w:val="1"/>
      <w:numFmt w:val="none"/>
      <w:lvlText w:val=""/>
      <w:lvlJc w:val="left"/>
      <w:pPr>
        <w:tabs>
          <w:tab w:val="num" w:pos="3240"/>
        </w:tabs>
        <w:ind w:left="3240" w:hanging="360"/>
      </w:pPr>
      <w:rPr>
        <w:rFonts w:hint="default"/>
        <w:u w:val="none"/>
      </w:rPr>
    </w:lvl>
    <w:lvl w:ilvl="5">
      <w:start w:val="1"/>
      <w:numFmt w:val="none"/>
      <w:lvlText w:val=""/>
      <w:lvlJc w:val="left"/>
      <w:pPr>
        <w:tabs>
          <w:tab w:val="num" w:pos="3600"/>
        </w:tabs>
        <w:ind w:left="3600" w:hanging="360"/>
      </w:pPr>
      <w:rPr>
        <w:rFonts w:hint="default"/>
        <w:u w:val="none"/>
      </w:rPr>
    </w:lvl>
    <w:lvl w:ilvl="6">
      <w:start w:val="1"/>
      <w:numFmt w:val="none"/>
      <w:lvlText w:val=""/>
      <w:lvlJc w:val="left"/>
      <w:pPr>
        <w:tabs>
          <w:tab w:val="num" w:pos="3960"/>
        </w:tabs>
        <w:ind w:left="3960" w:hanging="360"/>
      </w:pPr>
      <w:rPr>
        <w:rFonts w:hint="default"/>
        <w:u w:val="none"/>
      </w:rPr>
    </w:lvl>
    <w:lvl w:ilvl="7">
      <w:start w:val="1"/>
      <w:numFmt w:val="none"/>
      <w:lvlText w:val=""/>
      <w:lvlJc w:val="left"/>
      <w:pPr>
        <w:tabs>
          <w:tab w:val="num" w:pos="4320"/>
        </w:tabs>
        <w:ind w:left="4320" w:hanging="360"/>
      </w:pPr>
      <w:rPr>
        <w:rFonts w:hint="default"/>
        <w:u w:val="none"/>
      </w:rPr>
    </w:lvl>
    <w:lvl w:ilvl="8">
      <w:start w:val="1"/>
      <w:numFmt w:val="none"/>
      <w:lvlText w:val=""/>
      <w:lvlJc w:val="left"/>
      <w:pPr>
        <w:tabs>
          <w:tab w:val="num" w:pos="4680"/>
        </w:tabs>
        <w:ind w:left="4680" w:hanging="360"/>
      </w:pPr>
      <w:rPr>
        <w:rFonts w:hint="default"/>
        <w:u w:val="none"/>
      </w:rPr>
    </w:lvl>
  </w:abstractNum>
  <w:abstractNum w:abstractNumId="18" w15:restartNumberingAfterBreak="0">
    <w:nsid w:val="64AC5784"/>
    <w:multiLevelType w:val="hybridMultilevel"/>
    <w:tmpl w:val="9C8E9B8A"/>
    <w:lvl w:ilvl="0" w:tplc="8694453C">
      <w:start w:val="1"/>
      <w:numFmt w:val="lowerRoman"/>
      <w:lvlText w:val="%1."/>
      <w:lvlJc w:val="right"/>
      <w:pPr>
        <w:ind w:left="2340" w:hanging="360"/>
      </w:pPr>
      <w:rPr>
        <w:b w:val="0"/>
      </w:rPr>
    </w:lvl>
    <w:lvl w:ilvl="1" w:tplc="62FE24C6" w:tentative="1">
      <w:start w:val="1"/>
      <w:numFmt w:val="lowerLetter"/>
      <w:lvlText w:val="%2."/>
      <w:lvlJc w:val="left"/>
      <w:pPr>
        <w:ind w:left="3060" w:hanging="360"/>
      </w:pPr>
    </w:lvl>
    <w:lvl w:ilvl="2" w:tplc="45D44D9C" w:tentative="1">
      <w:start w:val="1"/>
      <w:numFmt w:val="lowerRoman"/>
      <w:lvlText w:val="%3."/>
      <w:lvlJc w:val="right"/>
      <w:pPr>
        <w:ind w:left="3780" w:hanging="180"/>
      </w:pPr>
    </w:lvl>
    <w:lvl w:ilvl="3" w:tplc="E21CFE4E" w:tentative="1">
      <w:start w:val="1"/>
      <w:numFmt w:val="decimal"/>
      <w:lvlText w:val="%4."/>
      <w:lvlJc w:val="left"/>
      <w:pPr>
        <w:ind w:left="4500" w:hanging="360"/>
      </w:pPr>
    </w:lvl>
    <w:lvl w:ilvl="4" w:tplc="A3F67C2E" w:tentative="1">
      <w:start w:val="1"/>
      <w:numFmt w:val="lowerLetter"/>
      <w:lvlText w:val="%5."/>
      <w:lvlJc w:val="left"/>
      <w:pPr>
        <w:ind w:left="5220" w:hanging="360"/>
      </w:pPr>
    </w:lvl>
    <w:lvl w:ilvl="5" w:tplc="72F24ECC" w:tentative="1">
      <w:start w:val="1"/>
      <w:numFmt w:val="lowerRoman"/>
      <w:lvlText w:val="%6."/>
      <w:lvlJc w:val="right"/>
      <w:pPr>
        <w:ind w:left="5940" w:hanging="180"/>
      </w:pPr>
    </w:lvl>
    <w:lvl w:ilvl="6" w:tplc="6BCCDDF2" w:tentative="1">
      <w:start w:val="1"/>
      <w:numFmt w:val="decimal"/>
      <w:lvlText w:val="%7."/>
      <w:lvlJc w:val="left"/>
      <w:pPr>
        <w:ind w:left="6660" w:hanging="360"/>
      </w:pPr>
    </w:lvl>
    <w:lvl w:ilvl="7" w:tplc="07D6E55E" w:tentative="1">
      <w:start w:val="1"/>
      <w:numFmt w:val="lowerLetter"/>
      <w:lvlText w:val="%8."/>
      <w:lvlJc w:val="left"/>
      <w:pPr>
        <w:ind w:left="7380" w:hanging="360"/>
      </w:pPr>
    </w:lvl>
    <w:lvl w:ilvl="8" w:tplc="CC2EAA10" w:tentative="1">
      <w:start w:val="1"/>
      <w:numFmt w:val="lowerRoman"/>
      <w:lvlText w:val="%9."/>
      <w:lvlJc w:val="right"/>
      <w:pPr>
        <w:ind w:left="8100" w:hanging="180"/>
      </w:pPr>
    </w:lvl>
  </w:abstractNum>
  <w:abstractNum w:abstractNumId="19" w15:restartNumberingAfterBreak="0">
    <w:nsid w:val="68211131"/>
    <w:multiLevelType w:val="hybridMultilevel"/>
    <w:tmpl w:val="EA6A718E"/>
    <w:lvl w:ilvl="0" w:tplc="D8189848">
      <w:start w:val="1"/>
      <w:numFmt w:val="lowerLetter"/>
      <w:lvlText w:val="(%1)"/>
      <w:lvlJc w:val="left"/>
      <w:pPr>
        <w:ind w:left="2160" w:hanging="360"/>
      </w:pPr>
      <w:rPr>
        <w:rFonts w:hint="default"/>
      </w:rPr>
    </w:lvl>
    <w:lvl w:ilvl="1" w:tplc="6C821280" w:tentative="1">
      <w:start w:val="1"/>
      <w:numFmt w:val="lowerLetter"/>
      <w:lvlText w:val="%2."/>
      <w:lvlJc w:val="left"/>
      <w:pPr>
        <w:ind w:left="2880" w:hanging="360"/>
      </w:pPr>
    </w:lvl>
    <w:lvl w:ilvl="2" w:tplc="2D800D2C">
      <w:start w:val="1"/>
      <w:numFmt w:val="lowerRoman"/>
      <w:lvlText w:val="%3."/>
      <w:lvlJc w:val="right"/>
      <w:pPr>
        <w:ind w:left="3600" w:hanging="180"/>
      </w:pPr>
    </w:lvl>
    <w:lvl w:ilvl="3" w:tplc="8D92A2F6">
      <w:start w:val="1"/>
      <w:numFmt w:val="lowerLetter"/>
      <w:lvlText w:val="(%4)"/>
      <w:lvlJc w:val="left"/>
      <w:pPr>
        <w:ind w:left="4320" w:hanging="360"/>
      </w:pPr>
      <w:rPr>
        <w:rFonts w:hint="default"/>
        <w:sz w:val="24"/>
        <w:szCs w:val="24"/>
      </w:rPr>
    </w:lvl>
    <w:lvl w:ilvl="4" w:tplc="4780776A" w:tentative="1">
      <w:start w:val="1"/>
      <w:numFmt w:val="lowerLetter"/>
      <w:lvlText w:val="%5."/>
      <w:lvlJc w:val="left"/>
      <w:pPr>
        <w:ind w:left="5040" w:hanging="360"/>
      </w:pPr>
    </w:lvl>
    <w:lvl w:ilvl="5" w:tplc="BD4470A0" w:tentative="1">
      <w:start w:val="1"/>
      <w:numFmt w:val="lowerRoman"/>
      <w:lvlText w:val="%6."/>
      <w:lvlJc w:val="right"/>
      <w:pPr>
        <w:ind w:left="5760" w:hanging="180"/>
      </w:pPr>
    </w:lvl>
    <w:lvl w:ilvl="6" w:tplc="0C4634E4" w:tentative="1">
      <w:start w:val="1"/>
      <w:numFmt w:val="decimal"/>
      <w:lvlText w:val="%7."/>
      <w:lvlJc w:val="left"/>
      <w:pPr>
        <w:ind w:left="6480" w:hanging="360"/>
      </w:pPr>
    </w:lvl>
    <w:lvl w:ilvl="7" w:tplc="86F624A6" w:tentative="1">
      <w:start w:val="1"/>
      <w:numFmt w:val="lowerLetter"/>
      <w:lvlText w:val="%8."/>
      <w:lvlJc w:val="left"/>
      <w:pPr>
        <w:ind w:left="7200" w:hanging="360"/>
      </w:pPr>
    </w:lvl>
    <w:lvl w:ilvl="8" w:tplc="3F12DFC4" w:tentative="1">
      <w:start w:val="1"/>
      <w:numFmt w:val="lowerRoman"/>
      <w:lvlText w:val="%9."/>
      <w:lvlJc w:val="right"/>
      <w:pPr>
        <w:ind w:left="7920" w:hanging="180"/>
      </w:pPr>
    </w:lvl>
  </w:abstractNum>
  <w:abstractNum w:abstractNumId="20" w15:restartNumberingAfterBreak="0">
    <w:nsid w:val="6BA144E7"/>
    <w:multiLevelType w:val="hybridMultilevel"/>
    <w:tmpl w:val="49989C4E"/>
    <w:lvl w:ilvl="0" w:tplc="9E906C96">
      <w:start w:val="1"/>
      <w:numFmt w:val="lowerRoman"/>
      <w:lvlText w:val="%1."/>
      <w:lvlJc w:val="right"/>
      <w:pPr>
        <w:ind w:left="2340" w:hanging="360"/>
      </w:pPr>
      <w:rPr>
        <w:b w:val="0"/>
      </w:rPr>
    </w:lvl>
    <w:lvl w:ilvl="1" w:tplc="37CAC770" w:tentative="1">
      <w:start w:val="1"/>
      <w:numFmt w:val="lowerLetter"/>
      <w:lvlText w:val="%2."/>
      <w:lvlJc w:val="left"/>
      <w:pPr>
        <w:ind w:left="3060" w:hanging="360"/>
      </w:pPr>
    </w:lvl>
    <w:lvl w:ilvl="2" w:tplc="B9EE54FC" w:tentative="1">
      <w:start w:val="1"/>
      <w:numFmt w:val="lowerRoman"/>
      <w:lvlText w:val="%3."/>
      <w:lvlJc w:val="right"/>
      <w:pPr>
        <w:ind w:left="3780" w:hanging="180"/>
      </w:pPr>
    </w:lvl>
    <w:lvl w:ilvl="3" w:tplc="9A5C6B44" w:tentative="1">
      <w:start w:val="1"/>
      <w:numFmt w:val="decimal"/>
      <w:lvlText w:val="%4."/>
      <w:lvlJc w:val="left"/>
      <w:pPr>
        <w:ind w:left="4500" w:hanging="360"/>
      </w:pPr>
    </w:lvl>
    <w:lvl w:ilvl="4" w:tplc="7CC2AFFC" w:tentative="1">
      <w:start w:val="1"/>
      <w:numFmt w:val="lowerLetter"/>
      <w:lvlText w:val="%5."/>
      <w:lvlJc w:val="left"/>
      <w:pPr>
        <w:ind w:left="5220" w:hanging="360"/>
      </w:pPr>
    </w:lvl>
    <w:lvl w:ilvl="5" w:tplc="02108220" w:tentative="1">
      <w:start w:val="1"/>
      <w:numFmt w:val="lowerRoman"/>
      <w:lvlText w:val="%6."/>
      <w:lvlJc w:val="right"/>
      <w:pPr>
        <w:ind w:left="5940" w:hanging="180"/>
      </w:pPr>
    </w:lvl>
    <w:lvl w:ilvl="6" w:tplc="892E29B0" w:tentative="1">
      <w:start w:val="1"/>
      <w:numFmt w:val="decimal"/>
      <w:lvlText w:val="%7."/>
      <w:lvlJc w:val="left"/>
      <w:pPr>
        <w:ind w:left="6660" w:hanging="360"/>
      </w:pPr>
    </w:lvl>
    <w:lvl w:ilvl="7" w:tplc="A950CCB8" w:tentative="1">
      <w:start w:val="1"/>
      <w:numFmt w:val="lowerLetter"/>
      <w:lvlText w:val="%8."/>
      <w:lvlJc w:val="left"/>
      <w:pPr>
        <w:ind w:left="7380" w:hanging="360"/>
      </w:pPr>
    </w:lvl>
    <w:lvl w:ilvl="8" w:tplc="607AA668" w:tentative="1">
      <w:start w:val="1"/>
      <w:numFmt w:val="lowerRoman"/>
      <w:lvlText w:val="%9."/>
      <w:lvlJc w:val="right"/>
      <w:pPr>
        <w:ind w:left="8100" w:hanging="180"/>
      </w:pPr>
    </w:lvl>
  </w:abstractNum>
  <w:abstractNum w:abstractNumId="21" w15:restartNumberingAfterBreak="0">
    <w:nsid w:val="6C9A272E"/>
    <w:multiLevelType w:val="hybridMultilevel"/>
    <w:tmpl w:val="9A900C6C"/>
    <w:lvl w:ilvl="0" w:tplc="72A6C3DC">
      <w:start w:val="1"/>
      <w:numFmt w:val="decimal"/>
      <w:pStyle w:val="Default"/>
      <w:lvlText w:val="%1."/>
      <w:lvlJc w:val="left"/>
      <w:rPr>
        <w:b w:val="0"/>
      </w:rPr>
    </w:lvl>
    <w:lvl w:ilvl="1" w:tplc="70806730">
      <w:numFmt w:val="decimal"/>
      <w:lvlText w:val=""/>
      <w:lvlJc w:val="left"/>
    </w:lvl>
    <w:lvl w:ilvl="2" w:tplc="F7EEF3CC">
      <w:numFmt w:val="decimal"/>
      <w:lvlText w:val=""/>
      <w:lvlJc w:val="left"/>
    </w:lvl>
    <w:lvl w:ilvl="3" w:tplc="5D06396E">
      <w:numFmt w:val="decimal"/>
      <w:lvlText w:val=""/>
      <w:lvlJc w:val="left"/>
    </w:lvl>
    <w:lvl w:ilvl="4" w:tplc="7E982DCA">
      <w:numFmt w:val="decimal"/>
      <w:lvlText w:val=""/>
      <w:lvlJc w:val="left"/>
    </w:lvl>
    <w:lvl w:ilvl="5" w:tplc="2C505748">
      <w:numFmt w:val="decimal"/>
      <w:lvlText w:val=""/>
      <w:lvlJc w:val="left"/>
    </w:lvl>
    <w:lvl w:ilvl="6" w:tplc="BD7842D2">
      <w:numFmt w:val="decimal"/>
      <w:lvlText w:val=""/>
      <w:lvlJc w:val="left"/>
    </w:lvl>
    <w:lvl w:ilvl="7" w:tplc="BC7C7E58">
      <w:start w:val="1"/>
      <w:numFmt w:val="bullet"/>
      <w:lvlText w:val=""/>
      <w:lvlJc w:val="left"/>
      <w:rPr>
        <w:rFonts w:ascii="Symbol" w:hAnsi="Symbol"/>
      </w:rPr>
    </w:lvl>
    <w:lvl w:ilvl="8" w:tplc="719AC0A4">
      <w:start w:val="1"/>
      <w:numFmt w:val="bullet"/>
      <w:lvlText w:val=""/>
      <w:lvlJc w:val="left"/>
      <w:rPr>
        <w:rFonts w:ascii="Symbol" w:hAnsi="Symbol"/>
      </w:rPr>
    </w:lvl>
  </w:abstractNum>
  <w:abstractNum w:abstractNumId="22" w15:restartNumberingAfterBreak="0">
    <w:nsid w:val="6FBE2C42"/>
    <w:multiLevelType w:val="hybridMultilevel"/>
    <w:tmpl w:val="56D0E936"/>
    <w:lvl w:ilvl="0" w:tplc="CF42D2B6">
      <w:start w:val="1"/>
      <w:numFmt w:val="bullet"/>
      <w:lvlText w:val=""/>
      <w:lvlJc w:val="left"/>
      <w:pPr>
        <w:ind w:left="720" w:hanging="360"/>
      </w:pPr>
      <w:rPr>
        <w:rFonts w:ascii="Symbol" w:hAnsi="Symbol" w:hint="default"/>
      </w:rPr>
    </w:lvl>
    <w:lvl w:ilvl="1" w:tplc="17D21328" w:tentative="1">
      <w:start w:val="1"/>
      <w:numFmt w:val="bullet"/>
      <w:lvlText w:val="o"/>
      <w:lvlJc w:val="left"/>
      <w:pPr>
        <w:ind w:left="1440" w:hanging="360"/>
      </w:pPr>
      <w:rPr>
        <w:rFonts w:ascii="Courier New" w:hAnsi="Courier New" w:cs="Courier New" w:hint="default"/>
      </w:rPr>
    </w:lvl>
    <w:lvl w:ilvl="2" w:tplc="41C4597E" w:tentative="1">
      <w:start w:val="1"/>
      <w:numFmt w:val="bullet"/>
      <w:lvlText w:val=""/>
      <w:lvlJc w:val="left"/>
      <w:pPr>
        <w:ind w:left="2160" w:hanging="360"/>
      </w:pPr>
      <w:rPr>
        <w:rFonts w:ascii="Wingdings" w:hAnsi="Wingdings" w:hint="default"/>
      </w:rPr>
    </w:lvl>
    <w:lvl w:ilvl="3" w:tplc="BB5C4EC8" w:tentative="1">
      <w:start w:val="1"/>
      <w:numFmt w:val="bullet"/>
      <w:lvlText w:val=""/>
      <w:lvlJc w:val="left"/>
      <w:pPr>
        <w:ind w:left="2880" w:hanging="360"/>
      </w:pPr>
      <w:rPr>
        <w:rFonts w:ascii="Symbol" w:hAnsi="Symbol" w:hint="default"/>
      </w:rPr>
    </w:lvl>
    <w:lvl w:ilvl="4" w:tplc="BC42BC74" w:tentative="1">
      <w:start w:val="1"/>
      <w:numFmt w:val="bullet"/>
      <w:lvlText w:val="o"/>
      <w:lvlJc w:val="left"/>
      <w:pPr>
        <w:ind w:left="3600" w:hanging="360"/>
      </w:pPr>
      <w:rPr>
        <w:rFonts w:ascii="Courier New" w:hAnsi="Courier New" w:cs="Courier New" w:hint="default"/>
      </w:rPr>
    </w:lvl>
    <w:lvl w:ilvl="5" w:tplc="5CFEEF26" w:tentative="1">
      <w:start w:val="1"/>
      <w:numFmt w:val="bullet"/>
      <w:lvlText w:val=""/>
      <w:lvlJc w:val="left"/>
      <w:pPr>
        <w:ind w:left="4320" w:hanging="360"/>
      </w:pPr>
      <w:rPr>
        <w:rFonts w:ascii="Wingdings" w:hAnsi="Wingdings" w:hint="default"/>
      </w:rPr>
    </w:lvl>
    <w:lvl w:ilvl="6" w:tplc="2550ED28" w:tentative="1">
      <w:start w:val="1"/>
      <w:numFmt w:val="bullet"/>
      <w:lvlText w:val=""/>
      <w:lvlJc w:val="left"/>
      <w:pPr>
        <w:ind w:left="5040" w:hanging="360"/>
      </w:pPr>
      <w:rPr>
        <w:rFonts w:ascii="Symbol" w:hAnsi="Symbol" w:hint="default"/>
      </w:rPr>
    </w:lvl>
    <w:lvl w:ilvl="7" w:tplc="D6EA7C0A" w:tentative="1">
      <w:start w:val="1"/>
      <w:numFmt w:val="bullet"/>
      <w:lvlText w:val="o"/>
      <w:lvlJc w:val="left"/>
      <w:pPr>
        <w:ind w:left="5760" w:hanging="360"/>
      </w:pPr>
      <w:rPr>
        <w:rFonts w:ascii="Courier New" w:hAnsi="Courier New" w:cs="Courier New" w:hint="default"/>
      </w:rPr>
    </w:lvl>
    <w:lvl w:ilvl="8" w:tplc="2B166766" w:tentative="1">
      <w:start w:val="1"/>
      <w:numFmt w:val="bullet"/>
      <w:lvlText w:val=""/>
      <w:lvlJc w:val="left"/>
      <w:pPr>
        <w:ind w:left="6480" w:hanging="360"/>
      </w:pPr>
      <w:rPr>
        <w:rFonts w:ascii="Wingdings" w:hAnsi="Wingdings" w:hint="default"/>
      </w:rPr>
    </w:lvl>
  </w:abstractNum>
  <w:abstractNum w:abstractNumId="23" w15:restartNumberingAfterBreak="0">
    <w:nsid w:val="753B28F6"/>
    <w:multiLevelType w:val="multilevel"/>
    <w:tmpl w:val="15BC11CA"/>
    <w:lvl w:ilvl="0">
      <w:start w:val="1"/>
      <w:numFmt w:val="decimal"/>
      <w:pStyle w:val="Heading10"/>
      <w:lvlText w:val="%1."/>
      <w:lvlJc w:val="left"/>
      <w:pPr>
        <w:tabs>
          <w:tab w:val="num" w:pos="720"/>
        </w:tabs>
        <w:ind w:left="0" w:firstLine="720"/>
      </w:pPr>
      <w:rPr>
        <w:rFonts w:ascii="Times New Roman Bold" w:hAnsi="Times New Roman Bold" w:hint="default"/>
        <w:b w:val="0"/>
        <w:i w:val="0"/>
        <w:sz w:val="24"/>
        <w:szCs w:val="24"/>
      </w:rPr>
    </w:lvl>
    <w:lvl w:ilvl="1">
      <w:start w:val="1"/>
      <w:numFmt w:val="lowerLetter"/>
      <w:pStyle w:val="Heading2"/>
      <w:lvlText w:val="%2."/>
      <w:lvlJc w:val="left"/>
      <w:pPr>
        <w:tabs>
          <w:tab w:val="num" w:pos="2160"/>
        </w:tabs>
        <w:ind w:left="0" w:firstLine="1440"/>
      </w:pPr>
      <w:rPr>
        <w:rFonts w:ascii="Times New Roman Bold" w:hAnsi="Times New Roman Bold" w:hint="default"/>
        <w:b/>
        <w:i w:val="0"/>
        <w:sz w:val="24"/>
        <w:szCs w:val="24"/>
      </w:rPr>
    </w:lvl>
    <w:lvl w:ilvl="2">
      <w:start w:val="1"/>
      <w:numFmt w:val="lowerRoman"/>
      <w:lvlText w:val="%3."/>
      <w:lvlJc w:val="left"/>
      <w:pPr>
        <w:tabs>
          <w:tab w:val="num" w:pos="2880"/>
        </w:tabs>
        <w:ind w:left="2160" w:firstLine="0"/>
      </w:pPr>
      <w:rPr>
        <w:rFonts w:ascii="Times New Roman" w:hAnsi="Times New Roman" w:hint="default"/>
        <w:b w:val="0"/>
        <w:i w:val="0"/>
        <w:sz w:val="24"/>
        <w:szCs w:val="24"/>
      </w:rPr>
    </w:lvl>
    <w:lvl w:ilvl="3">
      <w:start w:val="1"/>
      <w:numFmt w:val="decimal"/>
      <w:lvlText w:val="(%4)"/>
      <w:lvlJc w:val="left"/>
      <w:pPr>
        <w:tabs>
          <w:tab w:val="num" w:pos="1440"/>
        </w:tabs>
        <w:ind w:left="1440" w:hanging="360"/>
      </w:pPr>
      <w:rPr>
        <w:rFonts w:hint="default"/>
        <w:b w:val="0"/>
        <w:i w:val="0"/>
        <w:sz w:val="24"/>
        <w:szCs w:val="24"/>
      </w:rPr>
    </w:lvl>
    <w:lvl w:ilvl="4">
      <w:start w:val="1"/>
      <w:numFmt w:val="lowerLetter"/>
      <w:lvlText w:val="(%5)"/>
      <w:lvlJc w:val="left"/>
      <w:pPr>
        <w:tabs>
          <w:tab w:val="num" w:pos="1800"/>
        </w:tabs>
        <w:ind w:left="1800" w:hanging="360"/>
      </w:pPr>
      <w:rPr>
        <w:rFonts w:hint="default"/>
      </w:rPr>
    </w:lvl>
    <w:lvl w:ilvl="5">
      <w:start w:val="9"/>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7E7F1DD5"/>
    <w:multiLevelType w:val="multilevel"/>
    <w:tmpl w:val="D1FC4E90"/>
    <w:lvl w:ilvl="0">
      <w:start w:val="1"/>
      <w:numFmt w:val="upperRoman"/>
      <w:pStyle w:val="Pleading1L1"/>
      <w:lvlText w:val="%1."/>
      <w:lvlJc w:val="left"/>
      <w:pPr>
        <w:tabs>
          <w:tab w:val="num" w:pos="720"/>
        </w:tabs>
        <w:ind w:left="0" w:firstLine="0"/>
      </w:pPr>
      <w:rPr>
        <w:rFonts w:hint="default"/>
        <w:b/>
        <w:i w:val="0"/>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Pleading1L2"/>
      <w:lvlText w:val="%2."/>
      <w:lvlJc w:val="left"/>
      <w:pPr>
        <w:tabs>
          <w:tab w:val="num" w:pos="1440"/>
        </w:tabs>
        <w:ind w:left="0" w:firstLine="720"/>
      </w:pPr>
      <w:rPr>
        <w:rFonts w:hint="default"/>
        <w:b w:val="0"/>
        <w:i w:val="0"/>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leading1L3"/>
      <w:lvlText w:val="%3."/>
      <w:lvlJc w:val="left"/>
      <w:pPr>
        <w:tabs>
          <w:tab w:val="num" w:pos="2160"/>
        </w:tabs>
        <w:ind w:left="0" w:firstLine="1440"/>
      </w:pPr>
      <w:rPr>
        <w:rFonts w:hint="default"/>
        <w:b/>
        <w:i w:val="0"/>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Pleading1L4"/>
      <w:lvlText w:val="%4."/>
      <w:lvlJc w:val="left"/>
      <w:pPr>
        <w:tabs>
          <w:tab w:val="num" w:pos="2880"/>
        </w:tabs>
        <w:ind w:left="0" w:firstLine="2160"/>
      </w:pPr>
      <w:rPr>
        <w:rFonts w:hint="default"/>
        <w:b/>
        <w:i w:val="0"/>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Pleading1L5"/>
      <w:lvlText w:val="(%5)"/>
      <w:lvlJc w:val="left"/>
      <w:pPr>
        <w:tabs>
          <w:tab w:val="num" w:pos="3600"/>
        </w:tabs>
        <w:ind w:left="3600" w:hanging="720"/>
      </w:pPr>
      <w:rPr>
        <w:rFonts w:hint="default"/>
        <w:b/>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Pleading1L6"/>
      <w:lvlText w:val="(%6)"/>
      <w:lvlJc w:val="left"/>
      <w:pPr>
        <w:tabs>
          <w:tab w:val="num" w:pos="4320"/>
        </w:tabs>
        <w:ind w:left="4320" w:hanging="720"/>
      </w:pPr>
      <w:rPr>
        <w:rFonts w:hint="default"/>
        <w:b/>
        <w:i w:val="0"/>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Pleading1L7"/>
      <w:lvlText w:val="(%7)"/>
      <w:lvlJc w:val="left"/>
      <w:pPr>
        <w:tabs>
          <w:tab w:val="num" w:pos="5040"/>
        </w:tabs>
        <w:ind w:left="5040" w:hanging="720"/>
      </w:pPr>
      <w:rPr>
        <w:rFonts w:hint="default"/>
        <w:b/>
        <w:i w:val="0"/>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6"/>
      <w:numFmt w:val="decimal"/>
      <w:pStyle w:val="Pleading1L8"/>
      <w:lvlText w:val="%8."/>
      <w:lvlJc w:val="left"/>
      <w:pPr>
        <w:tabs>
          <w:tab w:val="num" w:pos="1440"/>
        </w:tabs>
        <w:ind w:left="0" w:firstLine="720"/>
      </w:pPr>
      <w:rPr>
        <w:rFonts w:hint="default"/>
        <w:b w:val="0"/>
        <w:i w:val="0"/>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pStyle w:val="Pleading1L9"/>
      <w:lvlText w:val="(%9)"/>
      <w:lvlJc w:val="left"/>
      <w:pPr>
        <w:tabs>
          <w:tab w:val="num" w:pos="2160"/>
        </w:tabs>
        <w:ind w:left="0" w:firstLine="1440"/>
      </w:pPr>
      <w:rPr>
        <w:rFonts w:hint="default"/>
        <w:b w:val="0"/>
        <w:i w:val="0"/>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257057737">
    <w:abstractNumId w:val="4"/>
    <w:lvlOverride w:ilvl="0">
      <w:startOverride w:val="1"/>
      <w:lvl w:ilvl="0">
        <w:start w:val="1"/>
        <w:numFmt w:val="decimal"/>
        <w:pStyle w:val="Lm"/>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90145536">
    <w:abstractNumId w:val="5"/>
  </w:num>
  <w:num w:numId="3" w16cid:durableId="2090155030">
    <w:abstractNumId w:val="1"/>
  </w:num>
  <w:num w:numId="4" w16cid:durableId="1395351891">
    <w:abstractNumId w:val="0"/>
  </w:num>
  <w:num w:numId="5" w16cid:durableId="2102097352">
    <w:abstractNumId w:val="12"/>
  </w:num>
  <w:num w:numId="6" w16cid:durableId="2016877265">
    <w:abstractNumId w:val="3"/>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16cid:durableId="1393039254">
    <w:abstractNumId w:val="24"/>
  </w:num>
  <w:num w:numId="8" w16cid:durableId="1857570604">
    <w:abstractNumId w:val="2"/>
  </w:num>
  <w:num w:numId="9" w16cid:durableId="1346322577">
    <w:abstractNumId w:val="21"/>
  </w:num>
  <w:num w:numId="10" w16cid:durableId="318537608">
    <w:abstractNumId w:val="17"/>
  </w:num>
  <w:num w:numId="11" w16cid:durableId="1151676784">
    <w:abstractNumId w:val="14"/>
  </w:num>
  <w:num w:numId="12" w16cid:durableId="1863585825">
    <w:abstractNumId w:val="23"/>
  </w:num>
  <w:num w:numId="13" w16cid:durableId="522019777">
    <w:abstractNumId w:val="8"/>
  </w:num>
  <w:num w:numId="14" w16cid:durableId="287972581">
    <w:abstractNumId w:val="7"/>
  </w:num>
  <w:num w:numId="15" w16cid:durableId="295919600">
    <w:abstractNumId w:val="22"/>
  </w:num>
  <w:num w:numId="16" w16cid:durableId="680738094">
    <w:abstractNumId w:val="15"/>
  </w:num>
  <w:num w:numId="17" w16cid:durableId="705057867">
    <w:abstractNumId w:val="5"/>
  </w:num>
  <w:num w:numId="18" w16cid:durableId="4811216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21200285">
    <w:abstractNumId w:val="19"/>
  </w:num>
  <w:num w:numId="20" w16cid:durableId="1259489135">
    <w:abstractNumId w:val="5"/>
  </w:num>
  <w:num w:numId="21" w16cid:durableId="1831486723">
    <w:abstractNumId w:val="5"/>
  </w:num>
  <w:num w:numId="22" w16cid:durableId="1107893054">
    <w:abstractNumId w:val="5"/>
  </w:num>
  <w:num w:numId="23" w16cid:durableId="16648922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0902582">
    <w:abstractNumId w:val="5"/>
  </w:num>
  <w:num w:numId="25" w16cid:durableId="10770202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61468441">
    <w:abstractNumId w:val="5"/>
  </w:num>
  <w:num w:numId="27" w16cid:durableId="1342199827">
    <w:abstractNumId w:val="6"/>
  </w:num>
  <w:num w:numId="28" w16cid:durableId="1572041751">
    <w:abstractNumId w:val="13"/>
  </w:num>
  <w:num w:numId="29" w16cid:durableId="1732390023">
    <w:abstractNumId w:val="11"/>
  </w:num>
  <w:num w:numId="30" w16cid:durableId="1747653999">
    <w:abstractNumId w:val="16"/>
  </w:num>
  <w:num w:numId="31" w16cid:durableId="2096315531">
    <w:abstractNumId w:val="9"/>
  </w:num>
  <w:num w:numId="32" w16cid:durableId="701589652">
    <w:abstractNumId w:val="20"/>
  </w:num>
  <w:num w:numId="33" w16cid:durableId="1340889331">
    <w:abstractNumId w:val="18"/>
  </w:num>
  <w:num w:numId="34" w16cid:durableId="413599575">
    <w:abstractNumId w:val="5"/>
  </w:num>
  <w:num w:numId="35" w16cid:durableId="2119057602">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styleLockQFSet/>
  <w:defaultTabStop w:val="720"/>
  <w:drawingGridHorizontalSpacing w:val="120"/>
  <w:displayHorizontalDrawingGridEvery w:val="2"/>
  <w:characterSpacingControl w:val="doNotCompress"/>
  <w:hdrShapeDefaults>
    <o:shapedefaults v:ext="edit" spidmax="26625"/>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B77"/>
    <w:rsid w:val="000003C1"/>
    <w:rsid w:val="000010E3"/>
    <w:rsid w:val="000025A6"/>
    <w:rsid w:val="000036B5"/>
    <w:rsid w:val="00021477"/>
    <w:rsid w:val="00021D46"/>
    <w:rsid w:val="0002459D"/>
    <w:rsid w:val="00025B49"/>
    <w:rsid w:val="000274DF"/>
    <w:rsid w:val="00030A02"/>
    <w:rsid w:val="00032169"/>
    <w:rsid w:val="0003304D"/>
    <w:rsid w:val="00033308"/>
    <w:rsid w:val="0003616F"/>
    <w:rsid w:val="000414FE"/>
    <w:rsid w:val="00044BF6"/>
    <w:rsid w:val="0004549D"/>
    <w:rsid w:val="00046421"/>
    <w:rsid w:val="00050D9B"/>
    <w:rsid w:val="00051EA5"/>
    <w:rsid w:val="00053F3B"/>
    <w:rsid w:val="00055D81"/>
    <w:rsid w:val="00057DBA"/>
    <w:rsid w:val="00060683"/>
    <w:rsid w:val="000619C5"/>
    <w:rsid w:val="000625F1"/>
    <w:rsid w:val="00064E50"/>
    <w:rsid w:val="0006527E"/>
    <w:rsid w:val="00065BE4"/>
    <w:rsid w:val="00073423"/>
    <w:rsid w:val="00073DEB"/>
    <w:rsid w:val="00082350"/>
    <w:rsid w:val="00082E1D"/>
    <w:rsid w:val="00084138"/>
    <w:rsid w:val="000841F6"/>
    <w:rsid w:val="000844DB"/>
    <w:rsid w:val="000B23E1"/>
    <w:rsid w:val="000B2517"/>
    <w:rsid w:val="000C0B39"/>
    <w:rsid w:val="000C12FB"/>
    <w:rsid w:val="000C3903"/>
    <w:rsid w:val="000D0C03"/>
    <w:rsid w:val="000D0E6B"/>
    <w:rsid w:val="000D2960"/>
    <w:rsid w:val="000D5A6A"/>
    <w:rsid w:val="000E1718"/>
    <w:rsid w:val="000E2317"/>
    <w:rsid w:val="000E7326"/>
    <w:rsid w:val="000F5C18"/>
    <w:rsid w:val="000F65A3"/>
    <w:rsid w:val="000F6B4F"/>
    <w:rsid w:val="00107135"/>
    <w:rsid w:val="0011095B"/>
    <w:rsid w:val="00114B9F"/>
    <w:rsid w:val="0013102C"/>
    <w:rsid w:val="001323AB"/>
    <w:rsid w:val="00140014"/>
    <w:rsid w:val="001512BC"/>
    <w:rsid w:val="00151CF2"/>
    <w:rsid w:val="00154481"/>
    <w:rsid w:val="00155C14"/>
    <w:rsid w:val="0015705F"/>
    <w:rsid w:val="001600E2"/>
    <w:rsid w:val="00162F27"/>
    <w:rsid w:val="00163F78"/>
    <w:rsid w:val="00163FFD"/>
    <w:rsid w:val="00164947"/>
    <w:rsid w:val="00165974"/>
    <w:rsid w:val="00170877"/>
    <w:rsid w:val="00171680"/>
    <w:rsid w:val="00174601"/>
    <w:rsid w:val="00177286"/>
    <w:rsid w:val="00177BBA"/>
    <w:rsid w:val="00181179"/>
    <w:rsid w:val="00190448"/>
    <w:rsid w:val="001912BD"/>
    <w:rsid w:val="001914C7"/>
    <w:rsid w:val="00191F9F"/>
    <w:rsid w:val="0019312A"/>
    <w:rsid w:val="00193793"/>
    <w:rsid w:val="00194AA5"/>
    <w:rsid w:val="001A3D06"/>
    <w:rsid w:val="001A59B3"/>
    <w:rsid w:val="001A6AA6"/>
    <w:rsid w:val="001B2F80"/>
    <w:rsid w:val="001C005E"/>
    <w:rsid w:val="001C1AEE"/>
    <w:rsid w:val="001C215F"/>
    <w:rsid w:val="001C4085"/>
    <w:rsid w:val="001D060D"/>
    <w:rsid w:val="001D06B9"/>
    <w:rsid w:val="001D2EFB"/>
    <w:rsid w:val="001D3114"/>
    <w:rsid w:val="001D7C8C"/>
    <w:rsid w:val="001E4432"/>
    <w:rsid w:val="001E6D77"/>
    <w:rsid w:val="001E7BF7"/>
    <w:rsid w:val="001F1B96"/>
    <w:rsid w:val="001F46B1"/>
    <w:rsid w:val="001F4C25"/>
    <w:rsid w:val="00201458"/>
    <w:rsid w:val="0020416C"/>
    <w:rsid w:val="002143C0"/>
    <w:rsid w:val="00214806"/>
    <w:rsid w:val="00220A6E"/>
    <w:rsid w:val="00230674"/>
    <w:rsid w:val="00231172"/>
    <w:rsid w:val="00231E86"/>
    <w:rsid w:val="00233972"/>
    <w:rsid w:val="00243206"/>
    <w:rsid w:val="00251C85"/>
    <w:rsid w:val="0025384C"/>
    <w:rsid w:val="0027085A"/>
    <w:rsid w:val="002739DA"/>
    <w:rsid w:val="002750B8"/>
    <w:rsid w:val="0028085C"/>
    <w:rsid w:val="00281301"/>
    <w:rsid w:val="00282D1D"/>
    <w:rsid w:val="00291266"/>
    <w:rsid w:val="00292F31"/>
    <w:rsid w:val="002947F2"/>
    <w:rsid w:val="00296954"/>
    <w:rsid w:val="00296EB2"/>
    <w:rsid w:val="002A05B6"/>
    <w:rsid w:val="002A424C"/>
    <w:rsid w:val="002A4F8F"/>
    <w:rsid w:val="002A5BF2"/>
    <w:rsid w:val="002A6CA1"/>
    <w:rsid w:val="002B32AD"/>
    <w:rsid w:val="002C1853"/>
    <w:rsid w:val="002C509B"/>
    <w:rsid w:val="002D0F44"/>
    <w:rsid w:val="002D265F"/>
    <w:rsid w:val="002D7E23"/>
    <w:rsid w:val="002E63D2"/>
    <w:rsid w:val="002F73B7"/>
    <w:rsid w:val="003019F1"/>
    <w:rsid w:val="00302BBD"/>
    <w:rsid w:val="00305FC4"/>
    <w:rsid w:val="00307F6F"/>
    <w:rsid w:val="00310FC2"/>
    <w:rsid w:val="0031189D"/>
    <w:rsid w:val="00312493"/>
    <w:rsid w:val="00332699"/>
    <w:rsid w:val="00343340"/>
    <w:rsid w:val="003435AD"/>
    <w:rsid w:val="00354A7C"/>
    <w:rsid w:val="0036122A"/>
    <w:rsid w:val="0037123B"/>
    <w:rsid w:val="003751CA"/>
    <w:rsid w:val="00377A7E"/>
    <w:rsid w:val="00385362"/>
    <w:rsid w:val="00386180"/>
    <w:rsid w:val="003917E7"/>
    <w:rsid w:val="00391FEF"/>
    <w:rsid w:val="003965DF"/>
    <w:rsid w:val="003A4319"/>
    <w:rsid w:val="003B1604"/>
    <w:rsid w:val="003B394D"/>
    <w:rsid w:val="003D1982"/>
    <w:rsid w:val="003D69E0"/>
    <w:rsid w:val="003E1C83"/>
    <w:rsid w:val="003E2B9A"/>
    <w:rsid w:val="003E5A47"/>
    <w:rsid w:val="003F185A"/>
    <w:rsid w:val="003F1DAD"/>
    <w:rsid w:val="003F655C"/>
    <w:rsid w:val="004006C7"/>
    <w:rsid w:val="0040785B"/>
    <w:rsid w:val="00412D18"/>
    <w:rsid w:val="004140E9"/>
    <w:rsid w:val="004209F4"/>
    <w:rsid w:val="0042501D"/>
    <w:rsid w:val="00426C80"/>
    <w:rsid w:val="00430252"/>
    <w:rsid w:val="00431523"/>
    <w:rsid w:val="00432364"/>
    <w:rsid w:val="00442534"/>
    <w:rsid w:val="00442653"/>
    <w:rsid w:val="00443212"/>
    <w:rsid w:val="00444C50"/>
    <w:rsid w:val="0045480D"/>
    <w:rsid w:val="00455147"/>
    <w:rsid w:val="0045570B"/>
    <w:rsid w:val="00457AEA"/>
    <w:rsid w:val="004634F7"/>
    <w:rsid w:val="0046408A"/>
    <w:rsid w:val="00473F99"/>
    <w:rsid w:val="00487A98"/>
    <w:rsid w:val="00492AAE"/>
    <w:rsid w:val="00494AD5"/>
    <w:rsid w:val="0049730F"/>
    <w:rsid w:val="004A22CE"/>
    <w:rsid w:val="004A7C8F"/>
    <w:rsid w:val="004B052E"/>
    <w:rsid w:val="004B08F8"/>
    <w:rsid w:val="004C7C92"/>
    <w:rsid w:val="004D6895"/>
    <w:rsid w:val="004F1210"/>
    <w:rsid w:val="004F14EA"/>
    <w:rsid w:val="004F3F1C"/>
    <w:rsid w:val="00501385"/>
    <w:rsid w:val="00503CDC"/>
    <w:rsid w:val="00504B1D"/>
    <w:rsid w:val="00506AEF"/>
    <w:rsid w:val="005139D1"/>
    <w:rsid w:val="00513B34"/>
    <w:rsid w:val="00514D4B"/>
    <w:rsid w:val="0052468A"/>
    <w:rsid w:val="0052651C"/>
    <w:rsid w:val="00534BC5"/>
    <w:rsid w:val="0054043A"/>
    <w:rsid w:val="00541B24"/>
    <w:rsid w:val="00543548"/>
    <w:rsid w:val="00543A7F"/>
    <w:rsid w:val="00547B80"/>
    <w:rsid w:val="00551A63"/>
    <w:rsid w:val="00564325"/>
    <w:rsid w:val="00565561"/>
    <w:rsid w:val="00566598"/>
    <w:rsid w:val="005676D2"/>
    <w:rsid w:val="00571206"/>
    <w:rsid w:val="0057150C"/>
    <w:rsid w:val="00572B69"/>
    <w:rsid w:val="00582043"/>
    <w:rsid w:val="00582621"/>
    <w:rsid w:val="005846FF"/>
    <w:rsid w:val="005872B1"/>
    <w:rsid w:val="00590903"/>
    <w:rsid w:val="005956D7"/>
    <w:rsid w:val="005A5B3F"/>
    <w:rsid w:val="005B22C5"/>
    <w:rsid w:val="005B297B"/>
    <w:rsid w:val="005B3306"/>
    <w:rsid w:val="005B5067"/>
    <w:rsid w:val="005B518F"/>
    <w:rsid w:val="005B572D"/>
    <w:rsid w:val="005B66FE"/>
    <w:rsid w:val="005C37DF"/>
    <w:rsid w:val="005D0BA9"/>
    <w:rsid w:val="005D0D9B"/>
    <w:rsid w:val="005D24E1"/>
    <w:rsid w:val="005D4881"/>
    <w:rsid w:val="005E0704"/>
    <w:rsid w:val="005E2A65"/>
    <w:rsid w:val="005E310D"/>
    <w:rsid w:val="005F12C6"/>
    <w:rsid w:val="006038A9"/>
    <w:rsid w:val="006051D5"/>
    <w:rsid w:val="006137EC"/>
    <w:rsid w:val="00627A30"/>
    <w:rsid w:val="00630657"/>
    <w:rsid w:val="00630DB0"/>
    <w:rsid w:val="0063467F"/>
    <w:rsid w:val="006369EE"/>
    <w:rsid w:val="0064188D"/>
    <w:rsid w:val="00645438"/>
    <w:rsid w:val="006542AD"/>
    <w:rsid w:val="00654993"/>
    <w:rsid w:val="00661378"/>
    <w:rsid w:val="00665AAA"/>
    <w:rsid w:val="006666ED"/>
    <w:rsid w:val="00666BCC"/>
    <w:rsid w:val="00666CA5"/>
    <w:rsid w:val="00670596"/>
    <w:rsid w:val="006725EC"/>
    <w:rsid w:val="006762FA"/>
    <w:rsid w:val="00677277"/>
    <w:rsid w:val="00680893"/>
    <w:rsid w:val="00684776"/>
    <w:rsid w:val="00685E17"/>
    <w:rsid w:val="006A0283"/>
    <w:rsid w:val="006A4E80"/>
    <w:rsid w:val="006A571A"/>
    <w:rsid w:val="006A5EC7"/>
    <w:rsid w:val="006A74DF"/>
    <w:rsid w:val="006B0668"/>
    <w:rsid w:val="006C0A36"/>
    <w:rsid w:val="006C1168"/>
    <w:rsid w:val="006C45F5"/>
    <w:rsid w:val="006C54AF"/>
    <w:rsid w:val="006D0E31"/>
    <w:rsid w:val="006D3B21"/>
    <w:rsid w:val="006D419D"/>
    <w:rsid w:val="006E1759"/>
    <w:rsid w:val="006E39C6"/>
    <w:rsid w:val="006E496A"/>
    <w:rsid w:val="006E553E"/>
    <w:rsid w:val="006E5D26"/>
    <w:rsid w:val="006E6129"/>
    <w:rsid w:val="006F0438"/>
    <w:rsid w:val="00703640"/>
    <w:rsid w:val="0070405B"/>
    <w:rsid w:val="00704AEE"/>
    <w:rsid w:val="00706DA1"/>
    <w:rsid w:val="00707CB8"/>
    <w:rsid w:val="00707DA5"/>
    <w:rsid w:val="0071193B"/>
    <w:rsid w:val="007141FA"/>
    <w:rsid w:val="007243B2"/>
    <w:rsid w:val="0073112B"/>
    <w:rsid w:val="00732247"/>
    <w:rsid w:val="00741BD0"/>
    <w:rsid w:val="00741D65"/>
    <w:rsid w:val="00742D69"/>
    <w:rsid w:val="00745129"/>
    <w:rsid w:val="00746A68"/>
    <w:rsid w:val="0075075E"/>
    <w:rsid w:val="00753E21"/>
    <w:rsid w:val="007576FF"/>
    <w:rsid w:val="00762250"/>
    <w:rsid w:val="007770CE"/>
    <w:rsid w:val="00777AE1"/>
    <w:rsid w:val="007836A3"/>
    <w:rsid w:val="007927DB"/>
    <w:rsid w:val="007974E9"/>
    <w:rsid w:val="007A3B1D"/>
    <w:rsid w:val="007A5370"/>
    <w:rsid w:val="007B0BB0"/>
    <w:rsid w:val="007B2920"/>
    <w:rsid w:val="007B69E0"/>
    <w:rsid w:val="007C310B"/>
    <w:rsid w:val="007C3E8D"/>
    <w:rsid w:val="007D4846"/>
    <w:rsid w:val="007E25CF"/>
    <w:rsid w:val="007E6763"/>
    <w:rsid w:val="007F013D"/>
    <w:rsid w:val="007F5C16"/>
    <w:rsid w:val="00804BC1"/>
    <w:rsid w:val="008064E0"/>
    <w:rsid w:val="00812311"/>
    <w:rsid w:val="00821A2E"/>
    <w:rsid w:val="0082466F"/>
    <w:rsid w:val="00827DEA"/>
    <w:rsid w:val="00833DAD"/>
    <w:rsid w:val="0083540D"/>
    <w:rsid w:val="00836BEF"/>
    <w:rsid w:val="00840F0F"/>
    <w:rsid w:val="008506A3"/>
    <w:rsid w:val="00857310"/>
    <w:rsid w:val="00865662"/>
    <w:rsid w:val="008659D9"/>
    <w:rsid w:val="00866489"/>
    <w:rsid w:val="00883623"/>
    <w:rsid w:val="00886CDD"/>
    <w:rsid w:val="00890671"/>
    <w:rsid w:val="00892BBD"/>
    <w:rsid w:val="0089788C"/>
    <w:rsid w:val="008A08FD"/>
    <w:rsid w:val="008A4F8E"/>
    <w:rsid w:val="008A523B"/>
    <w:rsid w:val="008A5572"/>
    <w:rsid w:val="008B1B77"/>
    <w:rsid w:val="008C102D"/>
    <w:rsid w:val="008C2B07"/>
    <w:rsid w:val="008D29EE"/>
    <w:rsid w:val="008D3130"/>
    <w:rsid w:val="008D56C6"/>
    <w:rsid w:val="008D7928"/>
    <w:rsid w:val="008E6455"/>
    <w:rsid w:val="008F464F"/>
    <w:rsid w:val="008F4CA4"/>
    <w:rsid w:val="009005E6"/>
    <w:rsid w:val="00901965"/>
    <w:rsid w:val="009051A9"/>
    <w:rsid w:val="00906D3F"/>
    <w:rsid w:val="0091135F"/>
    <w:rsid w:val="00915E26"/>
    <w:rsid w:val="00926BB0"/>
    <w:rsid w:val="00927BAF"/>
    <w:rsid w:val="00934E92"/>
    <w:rsid w:val="0094040F"/>
    <w:rsid w:val="009425E7"/>
    <w:rsid w:val="00944930"/>
    <w:rsid w:val="00944ECF"/>
    <w:rsid w:val="00954780"/>
    <w:rsid w:val="00954E5D"/>
    <w:rsid w:val="0096740E"/>
    <w:rsid w:val="00972135"/>
    <w:rsid w:val="00974992"/>
    <w:rsid w:val="009804B2"/>
    <w:rsid w:val="0098635B"/>
    <w:rsid w:val="00987376"/>
    <w:rsid w:val="009878F2"/>
    <w:rsid w:val="009949CD"/>
    <w:rsid w:val="00996210"/>
    <w:rsid w:val="00996404"/>
    <w:rsid w:val="009A1BC2"/>
    <w:rsid w:val="009A4699"/>
    <w:rsid w:val="009A7EFA"/>
    <w:rsid w:val="009B1191"/>
    <w:rsid w:val="009B1513"/>
    <w:rsid w:val="009B3075"/>
    <w:rsid w:val="009B6C0D"/>
    <w:rsid w:val="009C09A1"/>
    <w:rsid w:val="009C4542"/>
    <w:rsid w:val="009C66B7"/>
    <w:rsid w:val="009D0CF6"/>
    <w:rsid w:val="009D2F67"/>
    <w:rsid w:val="009D6A69"/>
    <w:rsid w:val="009E094F"/>
    <w:rsid w:val="009E1774"/>
    <w:rsid w:val="009E2320"/>
    <w:rsid w:val="009E60DB"/>
    <w:rsid w:val="009F1BDD"/>
    <w:rsid w:val="009F41BC"/>
    <w:rsid w:val="009F7635"/>
    <w:rsid w:val="00A0114F"/>
    <w:rsid w:val="00A01CF2"/>
    <w:rsid w:val="00A07041"/>
    <w:rsid w:val="00A13A4C"/>
    <w:rsid w:val="00A17675"/>
    <w:rsid w:val="00A2686A"/>
    <w:rsid w:val="00A26BE2"/>
    <w:rsid w:val="00A30D9C"/>
    <w:rsid w:val="00A348C1"/>
    <w:rsid w:val="00A36EDC"/>
    <w:rsid w:val="00A40BCB"/>
    <w:rsid w:val="00A444D1"/>
    <w:rsid w:val="00A55F6A"/>
    <w:rsid w:val="00A71B45"/>
    <w:rsid w:val="00A729FB"/>
    <w:rsid w:val="00A741DC"/>
    <w:rsid w:val="00A76275"/>
    <w:rsid w:val="00A80171"/>
    <w:rsid w:val="00A80733"/>
    <w:rsid w:val="00A817EC"/>
    <w:rsid w:val="00A8352B"/>
    <w:rsid w:val="00A85C1D"/>
    <w:rsid w:val="00AA7D56"/>
    <w:rsid w:val="00AB0B7D"/>
    <w:rsid w:val="00AC400C"/>
    <w:rsid w:val="00AE210C"/>
    <w:rsid w:val="00AE6498"/>
    <w:rsid w:val="00AF5ABD"/>
    <w:rsid w:val="00AF60CF"/>
    <w:rsid w:val="00B05994"/>
    <w:rsid w:val="00B076F9"/>
    <w:rsid w:val="00B16F1F"/>
    <w:rsid w:val="00B177AD"/>
    <w:rsid w:val="00B214F8"/>
    <w:rsid w:val="00B21584"/>
    <w:rsid w:val="00B26FA1"/>
    <w:rsid w:val="00B3366E"/>
    <w:rsid w:val="00B3393E"/>
    <w:rsid w:val="00B37456"/>
    <w:rsid w:val="00B4093E"/>
    <w:rsid w:val="00B40FB7"/>
    <w:rsid w:val="00B52DCC"/>
    <w:rsid w:val="00B53C08"/>
    <w:rsid w:val="00B53F88"/>
    <w:rsid w:val="00B6239D"/>
    <w:rsid w:val="00B741BA"/>
    <w:rsid w:val="00B75F57"/>
    <w:rsid w:val="00B84B59"/>
    <w:rsid w:val="00B84DE0"/>
    <w:rsid w:val="00B90386"/>
    <w:rsid w:val="00B9066F"/>
    <w:rsid w:val="00B9406C"/>
    <w:rsid w:val="00B96A1F"/>
    <w:rsid w:val="00B9722A"/>
    <w:rsid w:val="00BB0A21"/>
    <w:rsid w:val="00BB1B57"/>
    <w:rsid w:val="00BB2FE9"/>
    <w:rsid w:val="00BB7736"/>
    <w:rsid w:val="00BC5AA1"/>
    <w:rsid w:val="00BC7F3C"/>
    <w:rsid w:val="00BD08B8"/>
    <w:rsid w:val="00BD2D7F"/>
    <w:rsid w:val="00BE1571"/>
    <w:rsid w:val="00BE4320"/>
    <w:rsid w:val="00BE48EB"/>
    <w:rsid w:val="00BE6197"/>
    <w:rsid w:val="00BE62DE"/>
    <w:rsid w:val="00BF394B"/>
    <w:rsid w:val="00C04425"/>
    <w:rsid w:val="00C04A26"/>
    <w:rsid w:val="00C07D15"/>
    <w:rsid w:val="00C11F9E"/>
    <w:rsid w:val="00C15FB5"/>
    <w:rsid w:val="00C208DC"/>
    <w:rsid w:val="00C27419"/>
    <w:rsid w:val="00C31EAB"/>
    <w:rsid w:val="00C3482F"/>
    <w:rsid w:val="00C3606F"/>
    <w:rsid w:val="00C43A55"/>
    <w:rsid w:val="00C46B9B"/>
    <w:rsid w:val="00C500F3"/>
    <w:rsid w:val="00C51E92"/>
    <w:rsid w:val="00C55DCE"/>
    <w:rsid w:val="00C57EA7"/>
    <w:rsid w:val="00C60480"/>
    <w:rsid w:val="00C614AA"/>
    <w:rsid w:val="00C63AA6"/>
    <w:rsid w:val="00C6555F"/>
    <w:rsid w:val="00C7199A"/>
    <w:rsid w:val="00C76488"/>
    <w:rsid w:val="00C83E41"/>
    <w:rsid w:val="00C90C89"/>
    <w:rsid w:val="00C95B5C"/>
    <w:rsid w:val="00CA18DA"/>
    <w:rsid w:val="00CA639B"/>
    <w:rsid w:val="00CA7626"/>
    <w:rsid w:val="00CA7AC3"/>
    <w:rsid w:val="00CB443A"/>
    <w:rsid w:val="00CC2291"/>
    <w:rsid w:val="00CC780D"/>
    <w:rsid w:val="00CD0418"/>
    <w:rsid w:val="00CD6F29"/>
    <w:rsid w:val="00CE77FB"/>
    <w:rsid w:val="00CF263F"/>
    <w:rsid w:val="00CF26BC"/>
    <w:rsid w:val="00CF58DC"/>
    <w:rsid w:val="00CF77AF"/>
    <w:rsid w:val="00D01AAF"/>
    <w:rsid w:val="00D024A8"/>
    <w:rsid w:val="00D0419E"/>
    <w:rsid w:val="00D10043"/>
    <w:rsid w:val="00D155CE"/>
    <w:rsid w:val="00D2169C"/>
    <w:rsid w:val="00D22E7C"/>
    <w:rsid w:val="00D256D8"/>
    <w:rsid w:val="00D25724"/>
    <w:rsid w:val="00D258BC"/>
    <w:rsid w:val="00D31BD1"/>
    <w:rsid w:val="00D348DB"/>
    <w:rsid w:val="00D36339"/>
    <w:rsid w:val="00D42070"/>
    <w:rsid w:val="00D43943"/>
    <w:rsid w:val="00D47970"/>
    <w:rsid w:val="00D6726C"/>
    <w:rsid w:val="00D6791B"/>
    <w:rsid w:val="00D711B6"/>
    <w:rsid w:val="00D73586"/>
    <w:rsid w:val="00D821A8"/>
    <w:rsid w:val="00D84BD5"/>
    <w:rsid w:val="00D876D2"/>
    <w:rsid w:val="00D93F59"/>
    <w:rsid w:val="00D9495B"/>
    <w:rsid w:val="00DA12BC"/>
    <w:rsid w:val="00DA52DC"/>
    <w:rsid w:val="00DB4CB8"/>
    <w:rsid w:val="00DC409F"/>
    <w:rsid w:val="00DD4081"/>
    <w:rsid w:val="00DD4FD5"/>
    <w:rsid w:val="00DD5A42"/>
    <w:rsid w:val="00DD5CC6"/>
    <w:rsid w:val="00DE2B56"/>
    <w:rsid w:val="00E04D5E"/>
    <w:rsid w:val="00E1724C"/>
    <w:rsid w:val="00E23739"/>
    <w:rsid w:val="00E23CD9"/>
    <w:rsid w:val="00E317A0"/>
    <w:rsid w:val="00E31CD3"/>
    <w:rsid w:val="00E34F34"/>
    <w:rsid w:val="00E404F6"/>
    <w:rsid w:val="00E4087B"/>
    <w:rsid w:val="00E46169"/>
    <w:rsid w:val="00E466AB"/>
    <w:rsid w:val="00E51500"/>
    <w:rsid w:val="00E53375"/>
    <w:rsid w:val="00E63F93"/>
    <w:rsid w:val="00E7341A"/>
    <w:rsid w:val="00E73F4F"/>
    <w:rsid w:val="00E83A49"/>
    <w:rsid w:val="00EA1DE9"/>
    <w:rsid w:val="00EA5130"/>
    <w:rsid w:val="00EA671E"/>
    <w:rsid w:val="00EA7FF3"/>
    <w:rsid w:val="00EB711A"/>
    <w:rsid w:val="00EB755B"/>
    <w:rsid w:val="00EC023F"/>
    <w:rsid w:val="00EC10AF"/>
    <w:rsid w:val="00EC7D76"/>
    <w:rsid w:val="00ED069D"/>
    <w:rsid w:val="00ED3F26"/>
    <w:rsid w:val="00ED4748"/>
    <w:rsid w:val="00EF0253"/>
    <w:rsid w:val="00EF0532"/>
    <w:rsid w:val="00EF7DB6"/>
    <w:rsid w:val="00F00574"/>
    <w:rsid w:val="00F00C52"/>
    <w:rsid w:val="00F048F1"/>
    <w:rsid w:val="00F050D1"/>
    <w:rsid w:val="00F07E6A"/>
    <w:rsid w:val="00F202A7"/>
    <w:rsid w:val="00F26FF8"/>
    <w:rsid w:val="00F31EDD"/>
    <w:rsid w:val="00F3285F"/>
    <w:rsid w:val="00F36437"/>
    <w:rsid w:val="00F42DE6"/>
    <w:rsid w:val="00F47690"/>
    <w:rsid w:val="00F53687"/>
    <w:rsid w:val="00F66936"/>
    <w:rsid w:val="00F72F54"/>
    <w:rsid w:val="00F73740"/>
    <w:rsid w:val="00F815A0"/>
    <w:rsid w:val="00F87D2D"/>
    <w:rsid w:val="00F90B27"/>
    <w:rsid w:val="00F90B72"/>
    <w:rsid w:val="00F94AD2"/>
    <w:rsid w:val="00FA5A1B"/>
    <w:rsid w:val="00FA6DB6"/>
    <w:rsid w:val="00FA799C"/>
    <w:rsid w:val="00FB110F"/>
    <w:rsid w:val="00FB434F"/>
    <w:rsid w:val="00FB5269"/>
    <w:rsid w:val="00FB74CE"/>
    <w:rsid w:val="00FC1A01"/>
    <w:rsid w:val="00FC4EB7"/>
    <w:rsid w:val="00FD4CAD"/>
    <w:rsid w:val="00FE1960"/>
    <w:rsid w:val="00FF3A6D"/>
    <w:rsid w:val="00FF4775"/>
    <w:rsid w:val="00FF5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DA62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lsdException w:name="Body Text First Indent 2" w:semiHidden="1" w:uiPriority="99"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link w:val="Heading1Char"/>
    <w:qFormat/>
    <w:pPr>
      <w:numPr>
        <w:numId w:val="2"/>
      </w:numPr>
      <w:autoSpaceDE w:val="0"/>
      <w:autoSpaceDN w:val="0"/>
      <w:adjustRightInd w:val="0"/>
      <w:spacing w:after="240"/>
      <w:jc w:val="both"/>
      <w:outlineLvl w:val="0"/>
    </w:pPr>
    <w:rPr>
      <w:bCs/>
      <w:lang w:val="x-none" w:eastAsia="x-none"/>
    </w:rPr>
  </w:style>
  <w:style w:type="paragraph" w:styleId="Heading20">
    <w:name w:val="heading 2"/>
    <w:aliases w:val="h2"/>
    <w:basedOn w:val="Normal"/>
    <w:link w:val="Heading2Char"/>
    <w:qFormat/>
    <w:pPr>
      <w:autoSpaceDE w:val="0"/>
      <w:autoSpaceDN w:val="0"/>
      <w:adjustRightInd w:val="0"/>
      <w:spacing w:after="240"/>
      <w:jc w:val="both"/>
      <w:outlineLvl w:val="1"/>
    </w:pPr>
    <w:rPr>
      <w:rFonts w:cs="Arial"/>
      <w:bCs/>
    </w:rPr>
  </w:style>
  <w:style w:type="paragraph" w:styleId="Heading3">
    <w:name w:val="heading 3"/>
    <w:aliases w:val="h3"/>
    <w:basedOn w:val="Normal"/>
    <w:next w:val="Normal"/>
    <w:link w:val="Heading3Char"/>
    <w:qFormat/>
    <w:pPr>
      <w:numPr>
        <w:ilvl w:val="2"/>
        <w:numId w:val="2"/>
      </w:numPr>
      <w:autoSpaceDE w:val="0"/>
      <w:autoSpaceDN w:val="0"/>
      <w:adjustRightInd w:val="0"/>
      <w:spacing w:after="240"/>
      <w:jc w:val="both"/>
      <w:outlineLvl w:val="2"/>
    </w:pPr>
    <w:rPr>
      <w:bCs/>
      <w:lang w:val="x-none" w:eastAsia="x-none"/>
    </w:rPr>
  </w:style>
  <w:style w:type="paragraph" w:styleId="Heading4">
    <w:name w:val="heading 4"/>
    <w:aliases w:val="h4"/>
    <w:basedOn w:val="Normal"/>
    <w:next w:val="Normal"/>
    <w:link w:val="Heading4Char"/>
    <w:qFormat/>
    <w:pPr>
      <w:keepNext/>
      <w:widowControl w:val="0"/>
      <w:numPr>
        <w:ilvl w:val="3"/>
        <w:numId w:val="2"/>
      </w:numPr>
      <w:autoSpaceDE w:val="0"/>
      <w:autoSpaceDN w:val="0"/>
      <w:adjustRightInd w:val="0"/>
      <w:spacing w:after="240"/>
      <w:jc w:val="both"/>
      <w:outlineLvl w:val="3"/>
    </w:pPr>
    <w:rPr>
      <w:bCs/>
      <w:lang w:val="x-none" w:eastAsia="x-none"/>
    </w:rPr>
  </w:style>
  <w:style w:type="paragraph" w:styleId="Heading5">
    <w:name w:val="heading 5"/>
    <w:aliases w:val="h5"/>
    <w:basedOn w:val="Normal"/>
    <w:next w:val="Normal"/>
    <w:link w:val="Heading5Char"/>
    <w:qFormat/>
    <w:pPr>
      <w:keepNext/>
      <w:widowControl w:val="0"/>
      <w:numPr>
        <w:ilvl w:val="4"/>
        <w:numId w:val="2"/>
      </w:numPr>
      <w:autoSpaceDE w:val="0"/>
      <w:autoSpaceDN w:val="0"/>
      <w:adjustRightInd w:val="0"/>
      <w:jc w:val="center"/>
      <w:outlineLvl w:val="4"/>
    </w:pPr>
    <w:rPr>
      <w:rFonts w:ascii="Arial" w:hAnsi="Arial" w:cs="Arial"/>
      <w:b/>
    </w:rPr>
  </w:style>
  <w:style w:type="paragraph" w:styleId="Heading6">
    <w:name w:val="heading 6"/>
    <w:aliases w:val="h6"/>
    <w:basedOn w:val="Normal"/>
    <w:next w:val="Normal"/>
    <w:link w:val="Heading6Char"/>
    <w:qFormat/>
    <w:pPr>
      <w:keepNext/>
      <w:widowControl w:val="0"/>
      <w:numPr>
        <w:ilvl w:val="5"/>
        <w:numId w:val="2"/>
      </w:numPr>
      <w:autoSpaceDE w:val="0"/>
      <w:autoSpaceDN w:val="0"/>
      <w:adjustRightInd w:val="0"/>
      <w:outlineLvl w:val="5"/>
    </w:pPr>
    <w:rPr>
      <w:rFonts w:ascii="Arial" w:hAnsi="Arial" w:cs="Arial"/>
      <w:b/>
      <w:bCs/>
      <w:sz w:val="20"/>
    </w:rPr>
  </w:style>
  <w:style w:type="paragraph" w:styleId="Heading7">
    <w:name w:val="heading 7"/>
    <w:aliases w:val="h7"/>
    <w:basedOn w:val="Normal"/>
    <w:next w:val="Normal"/>
    <w:link w:val="Heading7Char"/>
    <w:qFormat/>
    <w:pPr>
      <w:keepNext/>
      <w:numPr>
        <w:ilvl w:val="6"/>
        <w:numId w:val="2"/>
      </w:numPr>
      <w:autoSpaceDE w:val="0"/>
      <w:autoSpaceDN w:val="0"/>
      <w:adjustRightInd w:val="0"/>
      <w:jc w:val="center"/>
      <w:outlineLvl w:val="6"/>
    </w:pPr>
    <w:rPr>
      <w:rFonts w:ascii="Arial" w:hAnsi="Arial" w:cs="Arial"/>
      <w:b/>
      <w:bCs/>
      <w:sz w:val="16"/>
    </w:rPr>
  </w:style>
  <w:style w:type="paragraph" w:styleId="Heading8">
    <w:name w:val="heading 8"/>
    <w:aliases w:val="h8"/>
    <w:basedOn w:val="Normal"/>
    <w:next w:val="Normal"/>
    <w:link w:val="Heading8Char"/>
    <w:qFormat/>
    <w:pPr>
      <w:keepNext/>
      <w:numPr>
        <w:ilvl w:val="7"/>
        <w:numId w:val="2"/>
      </w:numPr>
      <w:autoSpaceDE w:val="0"/>
      <w:autoSpaceDN w:val="0"/>
      <w:adjustRightInd w:val="0"/>
      <w:jc w:val="both"/>
      <w:outlineLvl w:val="7"/>
    </w:pPr>
    <w:rPr>
      <w:b/>
      <w:bCs/>
    </w:rPr>
  </w:style>
  <w:style w:type="paragraph" w:styleId="Heading9">
    <w:name w:val="heading 9"/>
    <w:aliases w:val="h9"/>
    <w:basedOn w:val="Normal"/>
    <w:next w:val="Normal"/>
    <w:link w:val="Heading9Char"/>
    <w:qFormat/>
    <w:pPr>
      <w:keepNext/>
      <w:widowControl w:val="0"/>
      <w:numPr>
        <w:ilvl w:val="8"/>
        <w:numId w:val="2"/>
      </w:numPr>
      <w:autoSpaceDE w:val="0"/>
      <w:autoSpaceDN w:val="0"/>
      <w:adjustRightInd w:val="0"/>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Pr>
      <w:bCs/>
      <w:sz w:val="24"/>
      <w:szCs w:val="24"/>
      <w:lang w:val="x-none" w:eastAsia="x-none"/>
    </w:rPr>
  </w:style>
  <w:style w:type="character" w:customStyle="1" w:styleId="Heading2Char">
    <w:name w:val="Heading 2 Char"/>
    <w:aliases w:val="h2 Char"/>
    <w:link w:val="Heading20"/>
    <w:rPr>
      <w:rFonts w:cs="Arial"/>
      <w:bCs/>
      <w:sz w:val="24"/>
      <w:szCs w:val="24"/>
      <w:lang w:val="en-US" w:eastAsia="en-US" w:bidi="ar-SA"/>
    </w:rPr>
  </w:style>
  <w:style w:type="character" w:customStyle="1" w:styleId="Heading3Char">
    <w:name w:val="Heading 3 Char"/>
    <w:aliases w:val="h3 Char"/>
    <w:link w:val="Heading3"/>
    <w:rPr>
      <w:bCs/>
      <w:sz w:val="24"/>
      <w:szCs w:val="24"/>
      <w:lang w:val="x-none" w:eastAsia="x-none"/>
    </w:rPr>
  </w:style>
  <w:style w:type="character" w:customStyle="1" w:styleId="Heading4Char">
    <w:name w:val="Heading 4 Char"/>
    <w:aliases w:val="h4 Char"/>
    <w:link w:val="Heading4"/>
    <w:rPr>
      <w:bCs/>
      <w:sz w:val="24"/>
      <w:szCs w:val="24"/>
      <w:lang w:val="x-none" w:eastAsia="x-none"/>
    </w:rPr>
  </w:style>
  <w:style w:type="character" w:customStyle="1" w:styleId="Heading5Char">
    <w:name w:val="Heading 5 Char"/>
    <w:aliases w:val="h5 Char"/>
    <w:basedOn w:val="DefaultParagraphFont"/>
    <w:link w:val="Heading5"/>
    <w:rsid w:val="00E23CD9"/>
    <w:rPr>
      <w:rFonts w:ascii="Arial" w:hAnsi="Arial" w:cs="Arial"/>
      <w:b/>
      <w:sz w:val="24"/>
      <w:szCs w:val="24"/>
    </w:rPr>
  </w:style>
  <w:style w:type="character" w:customStyle="1" w:styleId="Heading6Char">
    <w:name w:val="Heading 6 Char"/>
    <w:aliases w:val="h6 Char"/>
    <w:basedOn w:val="DefaultParagraphFont"/>
    <w:link w:val="Heading6"/>
    <w:rsid w:val="00E23CD9"/>
    <w:rPr>
      <w:rFonts w:ascii="Arial" w:hAnsi="Arial" w:cs="Arial"/>
      <w:b/>
      <w:bCs/>
      <w:szCs w:val="24"/>
    </w:rPr>
  </w:style>
  <w:style w:type="character" w:customStyle="1" w:styleId="Heading7Char">
    <w:name w:val="Heading 7 Char"/>
    <w:aliases w:val="h7 Char"/>
    <w:basedOn w:val="DefaultParagraphFont"/>
    <w:link w:val="Heading7"/>
    <w:rsid w:val="00E23CD9"/>
    <w:rPr>
      <w:rFonts w:ascii="Arial" w:hAnsi="Arial" w:cs="Arial"/>
      <w:b/>
      <w:bCs/>
      <w:sz w:val="16"/>
      <w:szCs w:val="24"/>
    </w:rPr>
  </w:style>
  <w:style w:type="character" w:customStyle="1" w:styleId="Heading8Char">
    <w:name w:val="Heading 8 Char"/>
    <w:aliases w:val="h8 Char"/>
    <w:basedOn w:val="DefaultParagraphFont"/>
    <w:link w:val="Heading8"/>
    <w:rsid w:val="00E23CD9"/>
    <w:rPr>
      <w:b/>
      <w:bCs/>
      <w:sz w:val="24"/>
      <w:szCs w:val="24"/>
    </w:rPr>
  </w:style>
  <w:style w:type="character" w:customStyle="1" w:styleId="Heading9Char">
    <w:name w:val="Heading 9 Char"/>
    <w:aliases w:val="h9 Char"/>
    <w:basedOn w:val="DefaultParagraphFont"/>
    <w:link w:val="Heading9"/>
    <w:rsid w:val="00E23CD9"/>
    <w:rPr>
      <w:b/>
      <w:bCs/>
      <w:sz w:val="24"/>
      <w:szCs w:val="24"/>
      <w:u w:val="single"/>
    </w:rPr>
  </w:style>
  <w:style w:type="paragraph" w:customStyle="1" w:styleId="Lm">
    <w:name w:val="Lm"/>
    <w:basedOn w:val="Normal"/>
    <w:pPr>
      <w:widowControl w:val="0"/>
      <w:numPr>
        <w:numId w:val="1"/>
      </w:numPr>
      <w:autoSpaceDE w:val="0"/>
      <w:autoSpaceDN w:val="0"/>
      <w:adjustRightInd w:val="0"/>
      <w:outlineLvl w:val="0"/>
    </w:pPr>
    <w:rPr>
      <w:rFonts w:ascii="Courier" w:hAnsi="Courier"/>
    </w:rPr>
  </w:style>
  <w:style w:type="paragraph" w:styleId="Title">
    <w:name w:val="Title"/>
    <w:aliases w:val="Title Char Char,Title Char Char Char,Title Char1,Title Char1 Char"/>
    <w:basedOn w:val="Normal"/>
    <w:link w:val="TitleChar"/>
    <w:uiPriority w:val="10"/>
    <w:qFormat/>
    <w:pPr>
      <w:autoSpaceDE w:val="0"/>
      <w:autoSpaceDN w:val="0"/>
      <w:adjustRightInd w:val="0"/>
      <w:jc w:val="center"/>
    </w:pPr>
    <w:rPr>
      <w:rFonts w:cs="Arial"/>
      <w:b/>
      <w:u w:val="single"/>
    </w:rPr>
  </w:style>
  <w:style w:type="character" w:customStyle="1" w:styleId="TitleChar">
    <w:name w:val="Title Char"/>
    <w:aliases w:val="Title Char Char Char1,Title Char Char Char Char,Title Char1 Char1,Title Char1 Char Char"/>
    <w:link w:val="Title"/>
    <w:uiPriority w:val="10"/>
    <w:rPr>
      <w:rFonts w:cs="Arial"/>
      <w:b/>
      <w:sz w:val="24"/>
      <w:szCs w:val="24"/>
      <w:u w:val="single"/>
    </w:rPr>
  </w:style>
  <w:style w:type="paragraph" w:styleId="BodyText2">
    <w:name w:val="Body Text 2"/>
    <w:aliases w:val="b2"/>
    <w:basedOn w:val="Normal"/>
    <w:link w:val="BodyText2Char"/>
    <w:qFormat/>
    <w:pPr>
      <w:widowControl w:val="0"/>
      <w:autoSpaceDE w:val="0"/>
      <w:autoSpaceDN w:val="0"/>
      <w:adjustRightInd w:val="0"/>
      <w:spacing w:after="60"/>
      <w:jc w:val="both"/>
    </w:pPr>
    <w:rPr>
      <w:rFonts w:cs="Arial"/>
    </w:rPr>
  </w:style>
  <w:style w:type="character" w:customStyle="1" w:styleId="BodyText2Char">
    <w:name w:val="Body Text 2 Char"/>
    <w:aliases w:val="b2 Char"/>
    <w:basedOn w:val="DefaultParagraphFont"/>
    <w:link w:val="BodyText2"/>
    <w:rsid w:val="00E23CD9"/>
    <w:rPr>
      <w:rFonts w:cs="Arial"/>
      <w:sz w:val="24"/>
      <w:szCs w:val="24"/>
    </w:rPr>
  </w:style>
  <w:style w:type="character" w:styleId="Hyperlink">
    <w:name w:val="Hyperlink"/>
    <w:rPr>
      <w:color w:val="0000FF"/>
      <w:u w:val="single"/>
    </w:rPr>
  </w:style>
  <w:style w:type="character" w:styleId="PageNumber">
    <w:name w:val="page number"/>
    <w:basedOn w:val="DefaultParagraphFont"/>
  </w:style>
  <w:style w:type="paragraph" w:styleId="Footer">
    <w:name w:val="footer"/>
    <w:basedOn w:val="Normal"/>
    <w:link w:val="FooterChar"/>
    <w:pPr>
      <w:widowControl w:val="0"/>
      <w:tabs>
        <w:tab w:val="center" w:pos="4320"/>
        <w:tab w:val="right" w:pos="8640"/>
      </w:tabs>
      <w:autoSpaceDE w:val="0"/>
      <w:autoSpaceDN w:val="0"/>
      <w:adjustRightInd w:val="0"/>
    </w:pPr>
    <w:rPr>
      <w:rFonts w:ascii="Courier" w:hAnsi="Courier"/>
      <w:lang w:val="x-none" w:eastAsia="x-none"/>
    </w:rPr>
  </w:style>
  <w:style w:type="character" w:customStyle="1" w:styleId="FooterChar">
    <w:name w:val="Footer Char"/>
    <w:link w:val="Footer"/>
    <w:uiPriority w:val="99"/>
    <w:rPr>
      <w:rFonts w:ascii="Courier" w:hAnsi="Courier"/>
      <w:sz w:val="24"/>
      <w:szCs w:val="24"/>
    </w:rPr>
  </w:style>
  <w:style w:type="paragraph" w:styleId="Header">
    <w:name w:val="header"/>
    <w:basedOn w:val="Normal"/>
    <w:link w:val="HeaderChar"/>
    <w:pPr>
      <w:tabs>
        <w:tab w:val="center" w:pos="4320"/>
        <w:tab w:val="right" w:pos="8640"/>
      </w:tabs>
    </w:pPr>
    <w:rPr>
      <w:lang w:val="x-none" w:eastAsia="x-none"/>
    </w:rPr>
  </w:style>
  <w:style w:type="character" w:customStyle="1" w:styleId="HeaderChar">
    <w:name w:val="Header Char"/>
    <w:link w:val="Header"/>
    <w:uiPriority w:val="99"/>
    <w:rPr>
      <w:sz w:val="24"/>
      <w:szCs w:val="24"/>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1">
    <w:name w:val="Cap1"/>
    <w:basedOn w:val="Normal"/>
    <w:pPr>
      <w:ind w:right="331"/>
    </w:pPr>
    <w:rPr>
      <w:szCs w:val="20"/>
    </w:rPr>
  </w:style>
  <w:style w:type="paragraph" w:styleId="FootnoteText">
    <w:name w:val="footnote text"/>
    <w:aliases w:val="Car,Footnote Text Char Char,Footnote Text Char Char Char Char,Footnote Text Char1,Footnote Text Char1 Char Char,Footnote Text Char1 Char1 Char Char Char Char,Footnote Text Char2 Char Char Char Char,Style 14,Style 4,Style 7,Style 9,fn,ft"/>
    <w:basedOn w:val="Normal"/>
    <w:link w:val="FootnoteTextChar"/>
    <w:qFormat/>
    <w:rPr>
      <w:sz w:val="20"/>
      <w:szCs w:val="20"/>
    </w:rPr>
  </w:style>
  <w:style w:type="character" w:customStyle="1" w:styleId="FootnoteTextChar">
    <w:name w:val="Footnote Text Char"/>
    <w:aliases w:val="Car Char,Footnote Text Char Char Char,Footnote Text Char Char Char Char Char,Footnote Text Char1 Char,Footnote Text Char1 Char Char Char,Footnote Text Char1 Char1 Char Char Char Char Char,Footnote Text Char2 Char Char Char Char Char"/>
    <w:basedOn w:val="DefaultParagraphFont"/>
    <w:link w:val="FootnoteText"/>
  </w:style>
  <w:style w:type="character" w:styleId="FootnoteReference">
    <w:name w:val="footnote reference"/>
    <w:aliases w:val="Style 13,Style 18,Style 3,Style 8,fr"/>
    <w:uiPriority w:val="99"/>
    <w:qFormat/>
    <w:rPr>
      <w:vertAlign w:val="superscript"/>
    </w:rPr>
  </w:style>
  <w:style w:type="character" w:customStyle="1" w:styleId="deltaviewinsertion">
    <w:name w:val="deltaviewinsertion"/>
    <w:basedOn w:val="DefaultParagraphFont"/>
  </w:style>
  <w:style w:type="paragraph" w:styleId="ListBullet2">
    <w:name w:val="List Bullet 2"/>
    <w:basedOn w:val="ListBullet"/>
    <w:pPr>
      <w:numPr>
        <w:numId w:val="3"/>
      </w:numPr>
      <w:tabs>
        <w:tab w:val="clear" w:pos="1440"/>
        <w:tab w:val="num" w:pos="360"/>
      </w:tabs>
      <w:spacing w:after="240"/>
      <w:ind w:left="0" w:firstLine="0"/>
    </w:pPr>
  </w:style>
  <w:style w:type="paragraph" w:styleId="ListBullet">
    <w:name w:val="List Bullet"/>
    <w:basedOn w:val="Normal"/>
    <w:pPr>
      <w:tabs>
        <w:tab w:val="num" w:pos="720"/>
      </w:tabs>
      <w:ind w:left="720" w:hanging="360"/>
    </w:pPr>
  </w:style>
  <w:style w:type="paragraph" w:styleId="ListNumber2">
    <w:name w:val="List Number 2"/>
    <w:basedOn w:val="Normal"/>
    <w:pPr>
      <w:numPr>
        <w:numId w:val="4"/>
      </w:numPr>
      <w:tabs>
        <w:tab w:val="clear" w:pos="720"/>
        <w:tab w:val="num" w:pos="1440"/>
      </w:tabs>
      <w:spacing w:after="240"/>
      <w:ind w:left="1440" w:hanging="720"/>
    </w:p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rsid w:val="00E23CD9"/>
    <w:rPr>
      <w:rFonts w:ascii="Tahoma" w:hAnsi="Tahoma" w:cs="Tahoma"/>
      <w:sz w:val="16"/>
      <w:szCs w:val="16"/>
    </w:rPr>
  </w:style>
  <w:style w:type="paragraph" w:customStyle="1" w:styleId="GEBodyText1">
    <w:name w:val="GE Body Text 1"/>
    <w:aliases w:val="B1"/>
    <w:basedOn w:val="Normal"/>
    <w:pPr>
      <w:spacing w:line="240" w:lineRule="exact"/>
      <w:ind w:firstLine="720"/>
    </w:pPr>
  </w:style>
  <w:style w:type="paragraph" w:customStyle="1" w:styleId="StyleHeading2h210pt">
    <w:name w:val="Style Heading 2h2 + 10 pt"/>
    <w:basedOn w:val="Heading20"/>
    <w:link w:val="StyleHeading2h210ptChar"/>
    <w:rPr>
      <w:bCs w:val="0"/>
      <w:sz w:val="20"/>
    </w:rPr>
  </w:style>
  <w:style w:type="character" w:customStyle="1" w:styleId="StyleHeading2h210ptChar">
    <w:name w:val="Style Heading 2h2 + 10 pt Char"/>
    <w:basedOn w:val="Heading2Char"/>
    <w:link w:val="StyleHeading2h210pt"/>
    <w:rPr>
      <w:rFonts w:cs="Arial"/>
      <w:bCs/>
      <w:sz w:val="24"/>
      <w:szCs w:val="24"/>
      <w:lang w:val="en-US" w:eastAsia="en-US" w:bidi="ar-SA"/>
    </w:rPr>
  </w:style>
  <w:style w:type="paragraph" w:customStyle="1" w:styleId="StyleStyleHeading2h210pt">
    <w:name w:val="Style Style Heading 2h2 + 10 pt +"/>
    <w:basedOn w:val="StyleHeading2h210pt"/>
    <w:link w:val="StyleStyleHeading2h210ptChar"/>
  </w:style>
  <w:style w:type="character" w:customStyle="1" w:styleId="StyleStyleHeading2h210ptChar">
    <w:name w:val="Style Style Heading 2h2 + 10 pt + Char"/>
    <w:basedOn w:val="StyleHeading2h210ptChar"/>
    <w:link w:val="StyleStyleHeading2h210pt"/>
    <w:rPr>
      <w:rFonts w:cs="Arial"/>
      <w:bCs/>
      <w:sz w:val="24"/>
      <w:szCs w:val="24"/>
      <w:lang w:val="en-US" w:eastAsia="en-US" w:bidi="ar-SA"/>
    </w:rPr>
  </w:style>
  <w:style w:type="paragraph" w:customStyle="1" w:styleId="StyleStyleStyleHeading2h210pt">
    <w:name w:val="Style Style Style Heading 2h2 + 10 pt + +"/>
    <w:basedOn w:val="StyleStyleHeading2h210pt"/>
    <w:link w:val="StyleStyleStyleHeading2h210ptChar"/>
    <w:pPr>
      <w:numPr>
        <w:ilvl w:val="1"/>
        <w:numId w:val="2"/>
      </w:numPr>
    </w:pPr>
  </w:style>
  <w:style w:type="character" w:customStyle="1" w:styleId="StyleStyleStyleHeading2h210ptChar">
    <w:name w:val="Style Style Style Heading 2h2 + 10 pt + + Char"/>
    <w:link w:val="StyleStyleStyleHeading2h210pt"/>
    <w:rPr>
      <w:rFonts w:cs="Arial"/>
      <w:szCs w:val="24"/>
    </w:rPr>
  </w:style>
  <w:style w:type="paragraph" w:customStyle="1" w:styleId="StyleHeading1h110ptBold">
    <w:name w:val="Style Heading 1h1 + 10 pt Bold"/>
    <w:basedOn w:val="Heading1"/>
    <w:rPr>
      <w:b/>
      <w:sz w:val="20"/>
    </w:rPr>
  </w:style>
  <w:style w:type="paragraph" w:styleId="BodyText3">
    <w:name w:val="Body Text 3"/>
    <w:basedOn w:val="Normal"/>
    <w:rPr>
      <w:sz w:val="16"/>
      <w:szCs w:val="16"/>
    </w:rPr>
  </w:style>
  <w:style w:type="paragraph" w:customStyle="1" w:styleId="StyleBoldFirstline013Kernat16ptLinespacingsingle">
    <w:name w:val="Style Bold First line:  0.13&quot; Kern at 16 pt Line spacing:  single"/>
    <w:basedOn w:val="Normal"/>
    <w:pPr>
      <w:spacing w:after="240"/>
      <w:ind w:left="720" w:right="720" w:hanging="720"/>
    </w:pPr>
    <w:rPr>
      <w:b/>
      <w:bCs/>
      <w:kern w:val="32"/>
      <w:szCs w:val="20"/>
    </w:rPr>
  </w:style>
  <w:style w:type="paragraph" w:styleId="Revision">
    <w:name w:val="Revision"/>
    <w:hidden/>
    <w:uiPriority w:val="99"/>
    <w:semiHidden/>
    <w:rPr>
      <w:sz w:val="24"/>
      <w:szCs w:val="24"/>
    </w:rPr>
  </w:style>
  <w:style w:type="paragraph" w:customStyle="1" w:styleId="Court">
    <w:name w:val="Court"/>
    <w:basedOn w:val="Normal"/>
    <w:pPr>
      <w:keepNext/>
    </w:pPr>
    <w:rPr>
      <w:caps/>
    </w:rPr>
  </w:style>
  <w:style w:type="paragraph" w:customStyle="1" w:styleId="CaptionInformation">
    <w:name w:val="Caption Information"/>
    <w:basedOn w:val="Normal"/>
    <w:link w:val="CaptionInformationChar"/>
  </w:style>
  <w:style w:type="character" w:customStyle="1" w:styleId="CaptionInformationChar">
    <w:name w:val="Caption Information Char"/>
    <w:link w:val="CaptionInformation"/>
    <w:rsid w:val="00954E5D"/>
    <w:rPr>
      <w:sz w:val="24"/>
      <w:szCs w:val="24"/>
    </w:rPr>
  </w:style>
  <w:style w:type="paragraph" w:customStyle="1" w:styleId="CaseNo">
    <w:name w:val="CaseNo"/>
    <w:basedOn w:val="Normal"/>
    <w:pPr>
      <w:spacing w:after="240"/>
    </w:pPr>
  </w:style>
  <w:style w:type="paragraph" w:customStyle="1" w:styleId="PleadingTitle">
    <w:name w:val="Pleading Title"/>
    <w:basedOn w:val="Normal"/>
    <w:next w:val="CaptionInformation"/>
    <w:pPr>
      <w:spacing w:after="240"/>
    </w:pPr>
    <w:rPr>
      <w:caps/>
    </w:rPr>
  </w:style>
  <w:style w:type="paragraph" w:customStyle="1" w:styleId="Char">
    <w:name w:val="Char"/>
    <w:basedOn w:val="Normal"/>
    <w:pPr>
      <w:spacing w:after="160" w:line="240" w:lineRule="exact"/>
    </w:pPr>
    <w:rPr>
      <w:rFonts w:ascii="Verdana" w:hAnsi="Verdana" w:cs="Verdana"/>
      <w:sz w:val="20"/>
      <w:szCs w:val="20"/>
    </w:rPr>
  </w:style>
  <w:style w:type="paragraph" w:customStyle="1" w:styleId="Body">
    <w:name w:val="Body"/>
    <w:basedOn w:val="Normal"/>
    <w:pPr>
      <w:spacing w:line="480" w:lineRule="auto"/>
      <w:ind w:firstLine="720"/>
    </w:pPr>
    <w:rPr>
      <w:szCs w:val="20"/>
    </w:rPr>
  </w:style>
  <w:style w:type="character" w:customStyle="1" w:styleId="DeletedText">
    <w:name w:val="Deleted Text"/>
    <w:uiPriority w:val="1"/>
    <w:rPr>
      <w:strike/>
      <w:color w:val="FF0000"/>
    </w:rPr>
  </w:style>
  <w:style w:type="character" w:customStyle="1" w:styleId="InsertedText">
    <w:name w:val="Inserted Text"/>
    <w:uiPriority w:val="1"/>
    <w:rPr>
      <w:color w:val="0000FF"/>
      <w:u w:val="double" w:color="0000FF"/>
    </w:rPr>
  </w:style>
  <w:style w:type="character" w:customStyle="1" w:styleId="MovedTo">
    <w:name w:val="Moved To"/>
    <w:uiPriority w:val="1"/>
    <w:rPr>
      <w:color w:val="008000"/>
      <w:u w:val="double" w:color="008000"/>
    </w:rPr>
  </w:style>
  <w:style w:type="character" w:customStyle="1" w:styleId="MovedFrom">
    <w:name w:val="Moved From"/>
    <w:uiPriority w:val="1"/>
    <w:rPr>
      <w:dstrike/>
      <w:color w:val="008000"/>
    </w:rPr>
  </w:style>
  <w:style w:type="character" w:customStyle="1" w:styleId="FormattedText">
    <w:name w:val="Formatted Text"/>
    <w:rPr>
      <w:color w:val="000000"/>
      <w:u w:val="none"/>
    </w:rPr>
  </w:style>
  <w:style w:type="character" w:customStyle="1" w:styleId="MergedCell">
    <w:name w:val="Merged Cell"/>
    <w:uiPriority w:val="1"/>
    <w:rPr>
      <w:b w:val="0"/>
      <w:i w:val="0"/>
      <w:strike w:val="0"/>
      <w:dstrike w:val="0"/>
      <w:vanish w:val="0"/>
      <w:color w:val="auto"/>
      <w:u w:val="none"/>
      <w:bdr w:val="none" w:sz="0" w:space="0" w:color="auto"/>
      <w:shd w:val="clear" w:color="auto" w:fill="FFFF99"/>
    </w:rPr>
  </w:style>
  <w:style w:type="character" w:customStyle="1" w:styleId="SplitCell">
    <w:name w:val="Split Cell"/>
    <w:uiPriority w:val="1"/>
    <w:rPr>
      <w:b w:val="0"/>
      <w:i w:val="0"/>
      <w:strike w:val="0"/>
      <w:dstrike w:val="0"/>
      <w:vanish w:val="0"/>
      <w:color w:val="auto"/>
      <w:u w:val="none"/>
      <w:bdr w:val="none" w:sz="0" w:space="0" w:color="auto"/>
      <w:shd w:val="clear" w:color="auto" w:fill="FF9900"/>
    </w:rPr>
  </w:style>
  <w:style w:type="character" w:customStyle="1" w:styleId="InsertedCell">
    <w:name w:val="Inserted Cell"/>
    <w:uiPriority w:val="1"/>
    <w:rPr>
      <w:b w:val="0"/>
      <w:i w:val="0"/>
      <w:strike w:val="0"/>
      <w:dstrike w:val="0"/>
      <w:vanish w:val="0"/>
      <w:color w:val="auto"/>
      <w:u w:val="none"/>
      <w:bdr w:val="none" w:sz="0" w:space="0" w:color="auto"/>
      <w:shd w:val="clear" w:color="auto" w:fill="99CCFF"/>
    </w:rPr>
  </w:style>
  <w:style w:type="character" w:customStyle="1" w:styleId="DeletedCell">
    <w:name w:val="Deleted Cell"/>
    <w:uiPriority w:val="1"/>
    <w:rPr>
      <w:b w:val="0"/>
      <w:i w:val="0"/>
      <w:strike w:val="0"/>
      <w:dstrike w:val="0"/>
      <w:vanish w:val="0"/>
      <w:color w:val="auto"/>
      <w:u w:val="none"/>
      <w:bdr w:val="none" w:sz="0" w:space="0" w:color="auto"/>
      <w:shd w:val="clear" w:color="auto" w:fill="FF00FF"/>
    </w:rPr>
  </w:style>
  <w:style w:type="character" w:customStyle="1" w:styleId="DeletedText0">
    <w:name w:val="Deleted Text_0"/>
    <w:uiPriority w:val="1"/>
    <w:rPr>
      <w:strike/>
      <w:color w:val="FF0000"/>
    </w:rPr>
  </w:style>
  <w:style w:type="character" w:customStyle="1" w:styleId="InsertedText0">
    <w:name w:val="Inserted Text_0"/>
    <w:uiPriority w:val="1"/>
    <w:rPr>
      <w:color w:val="0000FF"/>
      <w:u w:val="double" w:color="0000FF"/>
    </w:rPr>
  </w:style>
  <w:style w:type="character" w:customStyle="1" w:styleId="MovedTo0">
    <w:name w:val="Moved To_0"/>
    <w:uiPriority w:val="1"/>
    <w:rPr>
      <w:color w:val="008000"/>
      <w:u w:val="double" w:color="008000"/>
    </w:rPr>
  </w:style>
  <w:style w:type="character" w:customStyle="1" w:styleId="MovedFrom0">
    <w:name w:val="Moved From_0"/>
    <w:uiPriority w:val="1"/>
    <w:rPr>
      <w:dstrike/>
      <w:color w:val="008000"/>
    </w:rPr>
  </w:style>
  <w:style w:type="character" w:customStyle="1" w:styleId="FormattedText0">
    <w:name w:val="Formatted Text_0"/>
    <w:rPr>
      <w:color w:val="000000"/>
      <w:u w:val="none"/>
    </w:rPr>
  </w:style>
  <w:style w:type="character" w:customStyle="1" w:styleId="MergedCell0">
    <w:name w:val="Merged Cell_0"/>
    <w:uiPriority w:val="1"/>
    <w:rPr>
      <w:b w:val="0"/>
      <w:i w:val="0"/>
      <w:strike w:val="0"/>
      <w:dstrike w:val="0"/>
      <w:vanish w:val="0"/>
      <w:color w:val="auto"/>
      <w:u w:val="none"/>
      <w:bdr w:val="none" w:sz="0" w:space="0" w:color="auto"/>
      <w:shd w:val="clear" w:color="auto" w:fill="FFFF99"/>
    </w:rPr>
  </w:style>
  <w:style w:type="character" w:customStyle="1" w:styleId="SplitCell0">
    <w:name w:val="Split Cell_0"/>
    <w:uiPriority w:val="1"/>
    <w:rPr>
      <w:b w:val="0"/>
      <w:i w:val="0"/>
      <w:strike w:val="0"/>
      <w:dstrike w:val="0"/>
      <w:vanish w:val="0"/>
      <w:color w:val="auto"/>
      <w:u w:val="none"/>
      <w:bdr w:val="none" w:sz="0" w:space="0" w:color="auto"/>
      <w:shd w:val="clear" w:color="auto" w:fill="FF9900"/>
    </w:rPr>
  </w:style>
  <w:style w:type="character" w:customStyle="1" w:styleId="InsertedCell0">
    <w:name w:val="Inserted Cell_0"/>
    <w:uiPriority w:val="1"/>
    <w:rPr>
      <w:b w:val="0"/>
      <w:i w:val="0"/>
      <w:strike w:val="0"/>
      <w:dstrike w:val="0"/>
      <w:vanish w:val="0"/>
      <w:color w:val="auto"/>
      <w:u w:val="none"/>
      <w:bdr w:val="none" w:sz="0" w:space="0" w:color="auto"/>
      <w:shd w:val="clear" w:color="auto" w:fill="99CCFF"/>
    </w:rPr>
  </w:style>
  <w:style w:type="character" w:customStyle="1" w:styleId="DeletedCell0">
    <w:name w:val="Deleted Cell_0"/>
    <w:uiPriority w:val="1"/>
    <w:rPr>
      <w:b w:val="0"/>
      <w:i w:val="0"/>
      <w:strike w:val="0"/>
      <w:dstrike w:val="0"/>
      <w:vanish w:val="0"/>
      <w:color w:val="auto"/>
      <w:u w:val="none"/>
      <w:bdr w:val="none" w:sz="0" w:space="0" w:color="auto"/>
      <w:shd w:val="clear" w:color="auto" w:fill="FF00FF"/>
    </w:rPr>
  </w:style>
  <w:style w:type="character" w:styleId="CommentReference">
    <w:name w:val="annotation reference"/>
    <w:unhideWhenUsed/>
    <w:rPr>
      <w:sz w:val="16"/>
      <w:szCs w:val="16"/>
    </w:rPr>
  </w:style>
  <w:style w:type="paragraph" w:styleId="CommentText">
    <w:name w:val="annotation text"/>
    <w:basedOn w:val="Normal"/>
    <w:link w:val="CommentTextChar"/>
    <w:unhideWhenUsed/>
    <w:pPr>
      <w:spacing w:after="200" w:line="276" w:lineRule="auto"/>
    </w:pPr>
    <w:rPr>
      <w:rFonts w:ascii="Calibri" w:eastAsia="Calibri" w:hAnsi="Calibri"/>
      <w:sz w:val="20"/>
      <w:szCs w:val="20"/>
      <w:lang w:val="x-none" w:eastAsia="x-none"/>
    </w:rPr>
  </w:style>
  <w:style w:type="character" w:customStyle="1" w:styleId="CommentTextChar">
    <w:name w:val="Comment Text Char"/>
    <w:link w:val="CommentText"/>
    <w:rPr>
      <w:rFonts w:ascii="Calibri" w:eastAsia="Calibri" w:hAnsi="Calibri"/>
    </w:rPr>
  </w:style>
  <w:style w:type="paragraph" w:styleId="CommentSubject">
    <w:name w:val="annotation subject"/>
    <w:basedOn w:val="CommentText"/>
    <w:next w:val="CommentText"/>
    <w:link w:val="CommentSubjectChar"/>
    <w:pPr>
      <w:spacing w:after="0" w:line="240" w:lineRule="auto"/>
    </w:pPr>
    <w:rPr>
      <w:b/>
      <w:bCs/>
    </w:rPr>
  </w:style>
  <w:style w:type="character" w:customStyle="1" w:styleId="CommentSubjectChar">
    <w:name w:val="Comment Subject Char"/>
    <w:link w:val="CommentSubject"/>
    <w:uiPriority w:val="99"/>
    <w:rPr>
      <w:rFonts w:ascii="Calibri" w:eastAsia="Calibri" w:hAnsi="Calibri"/>
      <w:b/>
      <w:bCs/>
    </w:rPr>
  </w:style>
  <w:style w:type="paragraph" w:styleId="PlainText">
    <w:name w:val="Plain Text"/>
    <w:basedOn w:val="Normal"/>
    <w:link w:val="PlainTextChar"/>
    <w:uiPriority w:val="99"/>
    <w:pPr>
      <w:spacing w:after="100" w:afterAutospacing="1"/>
      <w:ind w:firstLine="720"/>
    </w:pPr>
    <w:rPr>
      <w:lang w:val="x-none" w:eastAsia="x-none"/>
    </w:rPr>
  </w:style>
  <w:style w:type="character" w:customStyle="1" w:styleId="PlainTextChar">
    <w:name w:val="Plain Text Char"/>
    <w:link w:val="PlainText"/>
    <w:uiPriority w:val="99"/>
    <w:rPr>
      <w:sz w:val="24"/>
      <w:szCs w:val="24"/>
    </w:rPr>
  </w:style>
  <w:style w:type="paragraph" w:customStyle="1" w:styleId="ListTextNumber1">
    <w:name w:val="List Text Number 1."/>
    <w:aliases w:val="l1"/>
    <w:basedOn w:val="BodyText"/>
    <w:link w:val="ListTextNumber1Char"/>
    <w:pPr>
      <w:numPr>
        <w:numId w:val="5"/>
      </w:numPr>
      <w:spacing w:after="60"/>
      <w:outlineLvl w:val="0"/>
    </w:pPr>
    <w:rPr>
      <w:noProof/>
      <w:sz w:val="20"/>
      <w:szCs w:val="20"/>
    </w:rPr>
  </w:style>
  <w:style w:type="paragraph" w:styleId="BodyText">
    <w:name w:val="Body Text"/>
    <w:aliases w:val="bt"/>
    <w:basedOn w:val="Normal"/>
    <w:link w:val="BodyTextChar"/>
    <w:qFormat/>
    <w:pPr>
      <w:spacing w:after="120"/>
    </w:pPr>
    <w:rPr>
      <w:lang w:val="x-none" w:eastAsia="x-none"/>
    </w:rPr>
  </w:style>
  <w:style w:type="character" w:customStyle="1" w:styleId="BodyTextChar">
    <w:name w:val="Body Text Char"/>
    <w:aliases w:val="bt Char"/>
    <w:link w:val="BodyText"/>
    <w:rPr>
      <w:sz w:val="24"/>
      <w:szCs w:val="24"/>
      <w:lang w:val="x-none" w:eastAsia="x-none"/>
    </w:rPr>
  </w:style>
  <w:style w:type="character" w:customStyle="1" w:styleId="ListTextNumber1Char">
    <w:name w:val="List Text Number 1. Char"/>
    <w:aliases w:val="l1 Char"/>
    <w:link w:val="ListTextNumber1"/>
    <w:rPr>
      <w:noProof/>
      <w:lang w:val="x-none" w:eastAsia="x-none"/>
    </w:rPr>
  </w:style>
  <w:style w:type="paragraph" w:customStyle="1" w:styleId="ListTextNumbera">
    <w:name w:val="List Text Number a."/>
    <w:aliases w:val="l2"/>
    <w:basedOn w:val="BodyText"/>
    <w:pPr>
      <w:numPr>
        <w:ilvl w:val="1"/>
        <w:numId w:val="5"/>
      </w:numPr>
      <w:spacing w:after="60"/>
      <w:outlineLvl w:val="1"/>
    </w:pPr>
    <w:rPr>
      <w:rFonts w:cs="Arial"/>
      <w:noProof/>
      <w:sz w:val="20"/>
      <w:szCs w:val="20"/>
    </w:rPr>
  </w:style>
  <w:style w:type="paragraph" w:customStyle="1" w:styleId="ListTextNumberi">
    <w:name w:val="List Text Number i."/>
    <w:aliases w:val="l3"/>
    <w:basedOn w:val="Normal"/>
    <w:pPr>
      <w:numPr>
        <w:ilvl w:val="2"/>
        <w:numId w:val="5"/>
      </w:numPr>
      <w:spacing w:after="240"/>
      <w:outlineLvl w:val="2"/>
    </w:pPr>
    <w:rPr>
      <w:rFonts w:ascii="Arial" w:hAnsi="Arial" w:cs="Arial"/>
      <w:noProof/>
      <w:sz w:val="20"/>
    </w:rPr>
  </w:style>
  <w:style w:type="paragraph" w:styleId="ListParagraph">
    <w:name w:val="List Paragraph"/>
    <w:aliases w:val="&lt;100 List Paragraph,List Paragraph Roman Numeral,Quote Special,Roman Numeral"/>
    <w:basedOn w:val="Normal"/>
    <w:link w:val="ListParagraphChar"/>
    <w:uiPriority w:val="34"/>
    <w:qFormat/>
    <w:pPr>
      <w:ind w:left="720"/>
    </w:pPr>
  </w:style>
  <w:style w:type="paragraph" w:customStyle="1" w:styleId="Level1">
    <w:name w:val="Level 1"/>
    <w:basedOn w:val="Normal"/>
    <w:pPr>
      <w:widowControl w:val="0"/>
      <w:numPr>
        <w:numId w:val="6"/>
      </w:numPr>
      <w:autoSpaceDE w:val="0"/>
      <w:autoSpaceDN w:val="0"/>
      <w:adjustRightInd w:val="0"/>
      <w:outlineLvl w:val="0"/>
    </w:pPr>
  </w:style>
  <w:style w:type="paragraph" w:customStyle="1" w:styleId="Pleading1L1">
    <w:name w:val="Pleading1_L1"/>
    <w:basedOn w:val="Normal"/>
    <w:next w:val="Normal"/>
    <w:pPr>
      <w:keepNext/>
      <w:keepLines/>
      <w:widowControl w:val="0"/>
      <w:numPr>
        <w:numId w:val="7"/>
      </w:numPr>
      <w:spacing w:before="240" w:line="240" w:lineRule="exact"/>
      <w:jc w:val="both"/>
      <w:outlineLvl w:val="0"/>
    </w:pPr>
    <w:rPr>
      <w:b/>
      <w:smallCaps/>
      <w:szCs w:val="20"/>
    </w:rPr>
  </w:style>
  <w:style w:type="paragraph" w:customStyle="1" w:styleId="Pleading1L2">
    <w:name w:val="Pleading1_L2"/>
    <w:basedOn w:val="Pleading1L1"/>
    <w:next w:val="Normal"/>
    <w:pPr>
      <w:numPr>
        <w:ilvl w:val="1"/>
      </w:numPr>
      <w:outlineLvl w:val="1"/>
    </w:pPr>
    <w:rPr>
      <w:smallCaps w:val="0"/>
    </w:rPr>
  </w:style>
  <w:style w:type="paragraph" w:customStyle="1" w:styleId="Pleading1L3">
    <w:name w:val="Pleading1_L3"/>
    <w:basedOn w:val="Pleading1L2"/>
    <w:next w:val="Normal"/>
    <w:pPr>
      <w:numPr>
        <w:ilvl w:val="2"/>
      </w:numPr>
      <w:outlineLvl w:val="2"/>
    </w:pPr>
  </w:style>
  <w:style w:type="paragraph" w:customStyle="1" w:styleId="Pleading1L4">
    <w:name w:val="Pleading1_L4"/>
    <w:basedOn w:val="Pleading1L3"/>
    <w:next w:val="Normal"/>
    <w:pPr>
      <w:numPr>
        <w:ilvl w:val="3"/>
      </w:numPr>
      <w:outlineLvl w:val="3"/>
    </w:pPr>
  </w:style>
  <w:style w:type="paragraph" w:customStyle="1" w:styleId="Pleading1L5">
    <w:name w:val="Pleading1_L5"/>
    <w:basedOn w:val="Pleading1L4"/>
    <w:next w:val="Normal"/>
    <w:pPr>
      <w:numPr>
        <w:ilvl w:val="4"/>
      </w:numPr>
      <w:outlineLvl w:val="4"/>
    </w:pPr>
  </w:style>
  <w:style w:type="paragraph" w:customStyle="1" w:styleId="Pleading1L6">
    <w:name w:val="Pleading1_L6"/>
    <w:basedOn w:val="Pleading1L5"/>
    <w:next w:val="Normal"/>
    <w:pPr>
      <w:numPr>
        <w:ilvl w:val="5"/>
      </w:numPr>
      <w:outlineLvl w:val="5"/>
    </w:pPr>
  </w:style>
  <w:style w:type="paragraph" w:customStyle="1" w:styleId="Pleading1L7">
    <w:name w:val="Pleading1_L7"/>
    <w:basedOn w:val="Pleading1L6"/>
    <w:next w:val="Normal"/>
    <w:pPr>
      <w:numPr>
        <w:ilvl w:val="6"/>
      </w:numPr>
      <w:outlineLvl w:val="6"/>
    </w:pPr>
  </w:style>
  <w:style w:type="paragraph" w:customStyle="1" w:styleId="Pleading1L8">
    <w:name w:val="Pleading1_L8"/>
    <w:basedOn w:val="Pleading1L7"/>
    <w:next w:val="Normal"/>
    <w:pPr>
      <w:keepNext w:val="0"/>
      <w:keepLines w:val="0"/>
      <w:numPr>
        <w:ilvl w:val="7"/>
      </w:numPr>
      <w:spacing w:before="0" w:line="480" w:lineRule="exact"/>
      <w:outlineLvl w:val="7"/>
    </w:pPr>
    <w:rPr>
      <w:b w:val="0"/>
    </w:rPr>
  </w:style>
  <w:style w:type="paragraph" w:customStyle="1" w:styleId="Pleading1L9">
    <w:name w:val="Pleading1_L9"/>
    <w:basedOn w:val="Pleading1L8"/>
    <w:next w:val="Normal"/>
    <w:pPr>
      <w:numPr>
        <w:ilvl w:val="8"/>
      </w:numPr>
      <w:outlineLvl w:val="8"/>
    </w:pPr>
  </w:style>
  <w:style w:type="character" w:customStyle="1" w:styleId="DeltaViewInsertion0">
    <w:name w:val="DeltaView Insertion"/>
    <w:rPr>
      <w:color w:val="0000FF"/>
      <w:spacing w:val="0"/>
      <w:u w:val="double"/>
    </w:rPr>
  </w:style>
  <w:style w:type="paragraph" w:customStyle="1" w:styleId="BodyTextDouble">
    <w:name w:val="Body Text Double"/>
    <w:aliases w:val="btd"/>
    <w:basedOn w:val="Normal"/>
    <w:qFormat/>
    <w:pPr>
      <w:spacing w:line="480" w:lineRule="auto"/>
      <w:ind w:firstLine="720"/>
    </w:pPr>
  </w:style>
  <w:style w:type="paragraph" w:styleId="ListNumber">
    <w:name w:val="List Number"/>
    <w:basedOn w:val="Normal"/>
    <w:pPr>
      <w:numPr>
        <w:numId w:val="8"/>
      </w:numPr>
      <w:tabs>
        <w:tab w:val="clear" w:pos="360"/>
        <w:tab w:val="num" w:pos="720"/>
      </w:tabs>
      <w:spacing w:after="240"/>
      <w:ind w:left="720" w:hanging="720"/>
    </w:pPr>
  </w:style>
  <w:style w:type="character" w:styleId="FollowedHyperlink">
    <w:name w:val="FollowedHyperlink"/>
    <w:uiPriority w:val="99"/>
    <w:rPr>
      <w:color w:val="800080"/>
      <w:u w:val="single"/>
    </w:rPr>
  </w:style>
  <w:style w:type="paragraph" w:customStyle="1" w:styleId="Default">
    <w:name w:val="Default"/>
    <w:link w:val="DefaultChar"/>
    <w:pPr>
      <w:widowControl w:val="0"/>
      <w:numPr>
        <w:numId w:val="9"/>
      </w:numPr>
      <w:autoSpaceDE w:val="0"/>
      <w:autoSpaceDN w:val="0"/>
      <w:adjustRightInd w:val="0"/>
      <w:spacing w:line="480" w:lineRule="auto"/>
      <w:jc w:val="both"/>
    </w:pPr>
    <w:rPr>
      <w:color w:val="000000"/>
      <w:sz w:val="24"/>
      <w:szCs w:val="24"/>
    </w:rPr>
  </w:style>
  <w:style w:type="character" w:customStyle="1" w:styleId="DefaultChar">
    <w:name w:val="Default Char"/>
    <w:link w:val="Default"/>
    <w:locked/>
    <w:rPr>
      <w:color w:val="000000"/>
      <w:sz w:val="24"/>
      <w:szCs w:val="24"/>
    </w:rPr>
  </w:style>
  <w:style w:type="paragraph" w:customStyle="1" w:styleId="CM1">
    <w:name w:val="CM1"/>
    <w:basedOn w:val="Default"/>
    <w:next w:val="Default"/>
    <w:uiPriority w:val="99"/>
    <w:pPr>
      <w:spacing w:line="280" w:lineRule="atLeast"/>
    </w:pPr>
    <w:rPr>
      <w:color w:val="auto"/>
    </w:rPr>
  </w:style>
  <w:style w:type="paragraph" w:customStyle="1" w:styleId="NumContinue">
    <w:name w:val="Num Continue"/>
    <w:basedOn w:val="BodyText"/>
    <w:pPr>
      <w:spacing w:after="240"/>
      <w:ind w:firstLine="1440"/>
    </w:pPr>
    <w:rPr>
      <w:szCs w:val="20"/>
      <w:lang w:val="en-US" w:eastAsia="en-US"/>
    </w:rPr>
  </w:style>
  <w:style w:type="paragraph" w:customStyle="1" w:styleId="BodyTextFirstIndent-CP">
    <w:name w:val="Body Text First Indent - CP"/>
    <w:basedOn w:val="Normal"/>
    <w:qFormat/>
    <w:pPr>
      <w:spacing w:line="480" w:lineRule="exact"/>
      <w:ind w:firstLine="720"/>
      <w:jc w:val="both"/>
    </w:pPr>
    <w:rPr>
      <w:rFonts w:eastAsia="Calibri"/>
      <w:sz w:val="28"/>
      <w:szCs w:val="28"/>
    </w:rPr>
  </w:style>
  <w:style w:type="paragraph" w:styleId="BodyTextIndent">
    <w:name w:val="Body Text Indent"/>
    <w:basedOn w:val="Normal"/>
    <w:link w:val="BodyTextIndentChar"/>
    <w:uiPriority w:val="99"/>
    <w:pPr>
      <w:spacing w:after="120"/>
      <w:ind w:left="360"/>
    </w:pPr>
  </w:style>
  <w:style w:type="character" w:customStyle="1" w:styleId="BodyTextIndentChar">
    <w:name w:val="Body Text Indent Char"/>
    <w:link w:val="BodyTextIndent"/>
    <w:uiPriority w:val="99"/>
    <w:rPr>
      <w:sz w:val="24"/>
      <w:szCs w:val="24"/>
    </w:rPr>
  </w:style>
  <w:style w:type="paragraph" w:styleId="BodyTextFirstIndent2">
    <w:name w:val="Body Text First Indent 2"/>
    <w:basedOn w:val="BodyTextIndent"/>
    <w:link w:val="BodyTextFirstIndent2Char"/>
    <w:uiPriority w:val="99"/>
    <w:pPr>
      <w:ind w:firstLine="210"/>
    </w:pPr>
  </w:style>
  <w:style w:type="character" w:customStyle="1" w:styleId="BodyTextFirstIndent2Char">
    <w:name w:val="Body Text First Indent 2 Char"/>
    <w:basedOn w:val="BodyTextIndentChar"/>
    <w:link w:val="BodyTextFirstIndent2"/>
    <w:uiPriority w:val="99"/>
    <w:rPr>
      <w:sz w:val="24"/>
      <w:szCs w:val="24"/>
    </w:rPr>
  </w:style>
  <w:style w:type="paragraph" w:customStyle="1" w:styleId="Stip">
    <w:name w:val="Stip"/>
    <w:basedOn w:val="Heading1"/>
    <w:pPr>
      <w:numPr>
        <w:numId w:val="10"/>
      </w:numPr>
      <w:tabs>
        <w:tab w:val="clear" w:pos="720"/>
        <w:tab w:val="num" w:pos="360"/>
      </w:tabs>
      <w:spacing w:after="0" w:line="480" w:lineRule="auto"/>
      <w:ind w:firstLine="0"/>
      <w:jc w:val="left"/>
    </w:pPr>
    <w:rPr>
      <w:rFonts w:eastAsia="SimSun"/>
      <w:lang w:val="en-US" w:eastAsia="zh-CN"/>
    </w:rPr>
  </w:style>
  <w:style w:type="paragraph" w:customStyle="1" w:styleId="Whereas">
    <w:name w:val="Whereas"/>
    <w:basedOn w:val="Normal"/>
    <w:uiPriority w:val="99"/>
    <w:pPr>
      <w:numPr>
        <w:numId w:val="11"/>
      </w:numPr>
      <w:adjustRightInd w:val="0"/>
      <w:snapToGrid w:val="0"/>
      <w:spacing w:line="480" w:lineRule="auto"/>
    </w:pPr>
    <w:rPr>
      <w:szCs w:val="20"/>
    </w:rPr>
  </w:style>
  <w:style w:type="paragraph" w:styleId="EndnoteText">
    <w:name w:val="endnote text"/>
    <w:basedOn w:val="Normal"/>
    <w:link w:val="EndnoteTextChar"/>
    <w:rPr>
      <w:sz w:val="20"/>
      <w:szCs w:val="20"/>
    </w:rPr>
  </w:style>
  <w:style w:type="character" w:customStyle="1" w:styleId="EndnoteTextChar">
    <w:name w:val="Endnote Text Char"/>
    <w:basedOn w:val="DefaultParagraphFont"/>
    <w:link w:val="EndnoteText"/>
  </w:style>
  <w:style w:type="character" w:styleId="EndnoteReference">
    <w:name w:val="endnote reference"/>
    <w:rPr>
      <w:vertAlign w:val="superscript"/>
    </w:rPr>
  </w:style>
  <w:style w:type="paragraph" w:customStyle="1" w:styleId="GEDate">
    <w:name w:val="GE Date"/>
    <w:basedOn w:val="Normal"/>
    <w:pPr>
      <w:autoSpaceDE w:val="0"/>
      <w:autoSpaceDN w:val="0"/>
      <w:adjustRightInd w:val="0"/>
      <w:spacing w:after="720"/>
      <w:contextualSpacing/>
      <w:jc w:val="center"/>
    </w:pPr>
    <w:rPr>
      <w:sz w:val="20"/>
      <w:szCs w:val="20"/>
    </w:rPr>
  </w:style>
  <w:style w:type="paragraph" w:customStyle="1" w:styleId="Heading10">
    <w:name w:val="*Heading 1"/>
    <w:basedOn w:val="Heading1"/>
    <w:link w:val="Heading1Char0"/>
    <w:pPr>
      <w:numPr>
        <w:numId w:val="12"/>
      </w:numPr>
      <w:autoSpaceDE/>
      <w:autoSpaceDN/>
      <w:adjustRightInd/>
      <w:spacing w:before="240"/>
      <w:jc w:val="left"/>
    </w:pPr>
    <w:rPr>
      <w:rFonts w:cs="Arial"/>
      <w:kern w:val="32"/>
      <w:szCs w:val="32"/>
      <w:lang w:val="en-US" w:eastAsia="en-US"/>
    </w:rPr>
  </w:style>
  <w:style w:type="character" w:customStyle="1" w:styleId="Heading1Char0">
    <w:name w:val="*Heading 1 Char"/>
    <w:link w:val="Heading10"/>
    <w:locked/>
    <w:rPr>
      <w:rFonts w:cs="Arial"/>
      <w:bCs/>
      <w:kern w:val="32"/>
      <w:sz w:val="24"/>
      <w:szCs w:val="32"/>
    </w:rPr>
  </w:style>
  <w:style w:type="paragraph" w:customStyle="1" w:styleId="Heading2">
    <w:name w:val="*Heading 2"/>
    <w:basedOn w:val="Heading20"/>
    <w:next w:val="BodyTextFirstIndent2"/>
    <w:pPr>
      <w:numPr>
        <w:ilvl w:val="1"/>
        <w:numId w:val="12"/>
      </w:numPr>
      <w:tabs>
        <w:tab w:val="clear" w:pos="2160"/>
        <w:tab w:val="num" w:pos="360"/>
      </w:tabs>
      <w:autoSpaceDE/>
      <w:autoSpaceDN/>
      <w:adjustRightInd/>
      <w:spacing w:before="240"/>
      <w:ind w:firstLine="0"/>
      <w:jc w:val="left"/>
    </w:pPr>
    <w:rPr>
      <w:iCs/>
      <w:szCs w:val="28"/>
    </w:rPr>
  </w:style>
  <w:style w:type="character" w:customStyle="1" w:styleId="FNChar">
    <w:name w:val="FN Char"/>
    <w:link w:val="FN"/>
    <w:locked/>
    <w:rPr>
      <w:rFonts w:ascii="Calibri" w:eastAsia="Calibri" w:hAnsi="Calibri"/>
    </w:rPr>
  </w:style>
  <w:style w:type="paragraph" w:customStyle="1" w:styleId="FN">
    <w:name w:val="FN"/>
    <w:basedOn w:val="FootnoteText"/>
    <w:link w:val="FNChar"/>
    <w:qFormat/>
    <w:pPr>
      <w:spacing w:after="120"/>
    </w:pPr>
    <w:rPr>
      <w:rFonts w:ascii="Calibri" w:eastAsia="Calibri" w:hAnsi="Calibri"/>
    </w:rPr>
  </w:style>
  <w:style w:type="character" w:customStyle="1" w:styleId="DeletedText1">
    <w:name w:val="Deleted Text_1"/>
    <w:uiPriority w:val="1"/>
    <w:rPr>
      <w:strike/>
      <w:dstrike w:val="0"/>
      <w:color w:val="FF0000"/>
    </w:rPr>
  </w:style>
  <w:style w:type="character" w:customStyle="1" w:styleId="InsertedText1">
    <w:name w:val="Inserted Text_1"/>
    <w:uiPriority w:val="1"/>
    <w:rPr>
      <w:color w:val="0000FF"/>
      <w:u w:val="double" w:color="0000FF"/>
    </w:rPr>
  </w:style>
  <w:style w:type="character" w:customStyle="1" w:styleId="MovedTo1">
    <w:name w:val="Moved To_1"/>
    <w:uiPriority w:val="1"/>
    <w:rPr>
      <w:color w:val="008000"/>
      <w:u w:val="double" w:color="008000"/>
    </w:rPr>
  </w:style>
  <w:style w:type="character" w:customStyle="1" w:styleId="MovedFrom1">
    <w:name w:val="Moved From_1"/>
    <w:uiPriority w:val="1"/>
    <w:rPr>
      <w:strike w:val="0"/>
      <w:dstrike/>
      <w:color w:val="008000"/>
    </w:rPr>
  </w:style>
  <w:style w:type="character" w:customStyle="1" w:styleId="FormattedText1">
    <w:name w:val="Formatted Text_1"/>
    <w:rPr>
      <w:color w:val="auto"/>
      <w:u w:val="none"/>
    </w:rPr>
  </w:style>
  <w:style w:type="character" w:customStyle="1" w:styleId="MergedCell1">
    <w:name w:val="Merged Cell_1"/>
    <w:uiPriority w:val="1"/>
    <w:rPr>
      <w:b w:val="0"/>
      <w:i w:val="0"/>
      <w:strike w:val="0"/>
      <w:dstrike w:val="0"/>
      <w:vanish w:val="0"/>
      <w:color w:val="auto"/>
      <w:u w:val="none"/>
      <w:bdr w:val="none" w:sz="0" w:space="0" w:color="auto"/>
      <w:shd w:val="clear" w:color="auto" w:fill="FFFF99"/>
    </w:rPr>
  </w:style>
  <w:style w:type="character" w:customStyle="1" w:styleId="SplitCell1">
    <w:name w:val="Split Cell_1"/>
    <w:uiPriority w:val="1"/>
    <w:rPr>
      <w:b w:val="0"/>
      <w:i w:val="0"/>
      <w:strike w:val="0"/>
      <w:dstrike w:val="0"/>
      <w:vanish w:val="0"/>
      <w:color w:val="auto"/>
      <w:u w:val="none"/>
      <w:bdr w:val="none" w:sz="0" w:space="0" w:color="auto"/>
      <w:shd w:val="clear" w:color="auto" w:fill="FF9900"/>
    </w:rPr>
  </w:style>
  <w:style w:type="character" w:customStyle="1" w:styleId="InsertedCell1">
    <w:name w:val="Inserted Cell_1"/>
    <w:uiPriority w:val="1"/>
    <w:rPr>
      <w:b w:val="0"/>
      <w:i w:val="0"/>
      <w:strike w:val="0"/>
      <w:dstrike w:val="0"/>
      <w:vanish w:val="0"/>
      <w:color w:val="auto"/>
      <w:u w:val="none"/>
      <w:bdr w:val="none" w:sz="0" w:space="0" w:color="auto"/>
      <w:shd w:val="clear" w:color="auto" w:fill="99CCFF"/>
    </w:rPr>
  </w:style>
  <w:style w:type="character" w:customStyle="1" w:styleId="DeletedCell1">
    <w:name w:val="Deleted Cell_1"/>
    <w:uiPriority w:val="1"/>
    <w:rPr>
      <w:b w:val="0"/>
      <w:i w:val="0"/>
      <w:strike w:val="0"/>
      <w:dstrike w:val="0"/>
      <w:vanish w:val="0"/>
      <w:color w:val="auto"/>
      <w:u w:val="none"/>
      <w:bdr w:val="none" w:sz="0" w:space="0" w:color="auto"/>
      <w:shd w:val="clear" w:color="auto" w:fill="FF00FF"/>
    </w:rPr>
  </w:style>
  <w:style w:type="character" w:customStyle="1" w:styleId="iRComments">
    <w:name w:val="iR Comments"/>
    <w:uiPriority w:val="1"/>
    <w:rPr>
      <w:color w:val="auto"/>
    </w:rPr>
  </w:style>
  <w:style w:type="paragraph" w:styleId="MacroText">
    <w:name w:val="macro"/>
    <w:link w:val="MacroTextChar"/>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semiHidden/>
    <w:rPr>
      <w:rFonts w:ascii="Consolas" w:hAnsi="Consolas"/>
    </w:rPr>
  </w:style>
  <w:style w:type="table" w:customStyle="1" w:styleId="TableGrid1">
    <w:name w:val="Table Grid1"/>
    <w:basedOn w:val="TableNormal"/>
    <w:next w:val="TableGrid"/>
    <w:rPr>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styleId="List2">
    <w:name w:val="List 2"/>
    <w:basedOn w:val="Normal"/>
    <w:unhideWhenUsed/>
    <w:pPr>
      <w:numPr>
        <w:numId w:val="13"/>
      </w:numPr>
      <w:spacing w:after="240"/>
      <w:ind w:left="1440" w:hanging="720"/>
      <w:jc w:val="both"/>
    </w:pPr>
    <w:rPr>
      <w:rFonts w:eastAsiaTheme="minorHAnsi"/>
      <w:sz w:val="28"/>
      <w:szCs w:val="28"/>
    </w:rPr>
  </w:style>
  <w:style w:type="paragraph" w:styleId="BodyTextFirstIndent">
    <w:name w:val="Body Text First Indent"/>
    <w:basedOn w:val="BodyText"/>
    <w:link w:val="BodyTextFirstIndentChar"/>
    <w:uiPriority w:val="99"/>
    <w:unhideWhenUsed/>
    <w:pPr>
      <w:spacing w:after="0"/>
      <w:ind w:firstLine="360"/>
    </w:pPr>
    <w:rPr>
      <w:rFonts w:eastAsiaTheme="minorHAnsi"/>
      <w:sz w:val="28"/>
      <w:szCs w:val="28"/>
      <w:lang w:val="en-US" w:eastAsia="en-US"/>
    </w:rPr>
  </w:style>
  <w:style w:type="character" w:customStyle="1" w:styleId="BodyTextFirstIndentChar">
    <w:name w:val="Body Text First Indent Char"/>
    <w:basedOn w:val="BodyTextChar"/>
    <w:link w:val="BodyTextFirstIndent"/>
    <w:uiPriority w:val="99"/>
    <w:rPr>
      <w:rFonts w:eastAsiaTheme="minorHAnsi"/>
      <w:sz w:val="28"/>
      <w:szCs w:val="28"/>
      <w:lang w:val="x-none" w:eastAsia="x-none"/>
    </w:rPr>
  </w:style>
  <w:style w:type="character" w:styleId="HTMLCite">
    <w:name w:val="HTML Cite"/>
    <w:basedOn w:val="DefaultParagraphFont"/>
    <w:uiPriority w:val="99"/>
    <w:semiHidden/>
    <w:unhideWhenUsed/>
    <w:rPr>
      <w:i w:val="0"/>
      <w:iCs w:val="0"/>
      <w:color w:val="006D21"/>
    </w:rPr>
  </w:style>
  <w:style w:type="character" w:customStyle="1" w:styleId="A1">
    <w:name w:val="A1"/>
    <w:uiPriority w:val="99"/>
    <w:rPr>
      <w:color w:val="221E1F"/>
      <w:sz w:val="22"/>
      <w:szCs w:val="22"/>
    </w:rPr>
  </w:style>
  <w:style w:type="paragraph" w:customStyle="1" w:styleId="BodyText1">
    <w:name w:val="BodyText1"/>
    <w:link w:val="BodyText1Char"/>
    <w:autoRedefine/>
    <w:qFormat/>
    <w:pPr>
      <w:numPr>
        <w:numId w:val="14"/>
      </w:numPr>
      <w:tabs>
        <w:tab w:val="left" w:pos="720"/>
        <w:tab w:val="left" w:pos="1260"/>
        <w:tab w:val="left" w:pos="3600"/>
      </w:tabs>
      <w:spacing w:line="480" w:lineRule="auto"/>
      <w:ind w:left="0" w:firstLine="720"/>
    </w:pPr>
    <w:rPr>
      <w:rFonts w:eastAsia="Calibri"/>
      <w:kern w:val="32"/>
      <w:sz w:val="24"/>
      <w:szCs w:val="24"/>
      <w:lang w:eastAsia="zh-CN"/>
    </w:rPr>
  </w:style>
  <w:style w:type="character" w:customStyle="1" w:styleId="BodyText1Char">
    <w:name w:val="BodyText1 Char"/>
    <w:link w:val="BodyText1"/>
    <w:rPr>
      <w:rFonts w:eastAsia="Calibri"/>
      <w:kern w:val="32"/>
      <w:sz w:val="24"/>
      <w:szCs w:val="24"/>
      <w:lang w:eastAsia="zh-CN"/>
    </w:rPr>
  </w:style>
  <w:style w:type="paragraph" w:customStyle="1" w:styleId="Picture">
    <w:name w:val="Picture"/>
    <w:basedOn w:val="Normal"/>
    <w:link w:val="PictureChar"/>
    <w:autoRedefine/>
    <w:qFormat/>
    <w:pPr>
      <w:keepNext/>
      <w:keepLines/>
      <w:tabs>
        <w:tab w:val="left" w:pos="1440"/>
        <w:tab w:val="left" w:pos="3600"/>
      </w:tabs>
      <w:spacing w:after="480"/>
      <w:ind w:right="547"/>
      <w:contextualSpacing/>
      <w:jc w:val="center"/>
    </w:pPr>
    <w:rPr>
      <w:rFonts w:eastAsia="Calibri"/>
      <w:b/>
      <w:color w:val="000000" w:themeColor="text1"/>
      <w:kern w:val="32"/>
      <w:sz w:val="22"/>
      <w:szCs w:val="22"/>
      <w:lang w:eastAsia="zh-CN"/>
    </w:rPr>
  </w:style>
  <w:style w:type="character" w:customStyle="1" w:styleId="PictureChar">
    <w:name w:val="Picture Char"/>
    <w:basedOn w:val="DefaultParagraphFont"/>
    <w:link w:val="Picture"/>
    <w:rPr>
      <w:rFonts w:eastAsia="Calibri"/>
      <w:b/>
      <w:color w:val="000000" w:themeColor="text1"/>
      <w:kern w:val="32"/>
      <w:sz w:val="22"/>
      <w:szCs w:val="22"/>
      <w:lang w:eastAsia="zh-CN"/>
    </w:rPr>
  </w:style>
  <w:style w:type="character" w:customStyle="1" w:styleId="DocID">
    <w:name w:val="DocID"/>
    <w:basedOn w:val="DefaultParagraphFont"/>
    <w:rPr>
      <w:rFonts w:ascii="Times New Roman" w:hAnsi="Times New Roman" w:cs="Times New Roman"/>
      <w:b w:val="0"/>
      <w:bCs/>
      <w:i w:val="0"/>
      <w:caps w:val="0"/>
      <w:vanish w:val="0"/>
      <w:color w:val="000000"/>
      <w:sz w:val="14"/>
      <w:szCs w:val="28"/>
      <w:u w:val="none"/>
    </w:rPr>
  </w:style>
  <w:style w:type="character" w:customStyle="1" w:styleId="xn-money">
    <w:name w:val="xn-money"/>
    <w:basedOn w:val="DefaultParagraphFont"/>
    <w:rsid w:val="004C7C92"/>
  </w:style>
  <w:style w:type="character" w:customStyle="1" w:styleId="xn-chron">
    <w:name w:val="xn-chron"/>
    <w:basedOn w:val="DefaultParagraphFont"/>
    <w:rsid w:val="004C7C92"/>
  </w:style>
  <w:style w:type="paragraph" w:customStyle="1" w:styleId="Plain">
    <w:name w:val="Plain"/>
    <w:rsid w:val="00E23CD9"/>
    <w:rPr>
      <w:rFonts w:eastAsiaTheme="minorHAnsi" w:cstheme="minorBidi"/>
      <w:sz w:val="24"/>
      <w:szCs w:val="24"/>
    </w:rPr>
  </w:style>
  <w:style w:type="paragraph" w:styleId="Subtitle">
    <w:name w:val="Subtitle"/>
    <w:next w:val="BodyText"/>
    <w:link w:val="SubtitleChar"/>
    <w:qFormat/>
    <w:rsid w:val="00E23CD9"/>
    <w:pPr>
      <w:keepNext/>
      <w:numPr>
        <w:ilvl w:val="1"/>
      </w:numPr>
      <w:spacing w:after="240"/>
    </w:pPr>
    <w:rPr>
      <w:rFonts w:eastAsiaTheme="minorEastAsia" w:cstheme="minorBidi"/>
      <w:sz w:val="24"/>
      <w:szCs w:val="22"/>
    </w:rPr>
  </w:style>
  <w:style w:type="character" w:customStyle="1" w:styleId="SubtitleChar">
    <w:name w:val="Subtitle Char"/>
    <w:basedOn w:val="DefaultParagraphFont"/>
    <w:link w:val="Subtitle"/>
    <w:rsid w:val="00E23CD9"/>
    <w:rPr>
      <w:rFonts w:eastAsiaTheme="minorEastAsia" w:cstheme="minorBidi"/>
      <w:sz w:val="24"/>
      <w:szCs w:val="22"/>
    </w:rPr>
  </w:style>
  <w:style w:type="paragraph" w:styleId="BlockText">
    <w:name w:val="Block Text"/>
    <w:next w:val="BodyText"/>
    <w:qFormat/>
    <w:rsid w:val="00E23CD9"/>
    <w:pPr>
      <w:spacing w:after="240"/>
      <w:ind w:left="720" w:right="720"/>
    </w:pPr>
    <w:rPr>
      <w:rFonts w:eastAsiaTheme="minorEastAsia" w:cstheme="minorBidi"/>
      <w:iCs/>
      <w:sz w:val="24"/>
      <w:szCs w:val="24"/>
    </w:rPr>
  </w:style>
  <w:style w:type="paragraph" w:styleId="TOCHeading">
    <w:name w:val="TOC Heading"/>
    <w:next w:val="BodyText"/>
    <w:unhideWhenUsed/>
    <w:qFormat/>
    <w:rsid w:val="00E23CD9"/>
    <w:pPr>
      <w:keepNext/>
      <w:spacing w:after="240"/>
      <w:jc w:val="center"/>
    </w:pPr>
    <w:rPr>
      <w:rFonts w:eastAsiaTheme="majorEastAsia" w:cstheme="majorBidi"/>
      <w:b/>
      <w:caps/>
      <w:sz w:val="24"/>
      <w:szCs w:val="32"/>
      <w:u w:val="single"/>
    </w:rPr>
  </w:style>
  <w:style w:type="paragraph" w:styleId="TOC1">
    <w:name w:val="toc 1"/>
    <w:basedOn w:val="Normal"/>
    <w:next w:val="Normal"/>
    <w:autoRedefine/>
    <w:uiPriority w:val="39"/>
    <w:unhideWhenUsed/>
    <w:rsid w:val="00E23CD9"/>
    <w:pPr>
      <w:tabs>
        <w:tab w:val="left" w:pos="480"/>
        <w:tab w:val="right" w:leader="dot" w:pos="9350"/>
      </w:tabs>
      <w:spacing w:after="240"/>
      <w:ind w:left="475" w:right="720" w:hanging="475"/>
    </w:pPr>
    <w:rPr>
      <w:rFonts w:eastAsia="PMingLiU"/>
      <w:sz w:val="22"/>
      <w:szCs w:val="22"/>
    </w:rPr>
  </w:style>
  <w:style w:type="paragraph" w:styleId="TOC2">
    <w:name w:val="toc 2"/>
    <w:basedOn w:val="Normal"/>
    <w:next w:val="Normal"/>
    <w:autoRedefine/>
    <w:uiPriority w:val="39"/>
    <w:unhideWhenUsed/>
    <w:rsid w:val="00E23CD9"/>
    <w:pPr>
      <w:tabs>
        <w:tab w:val="left" w:pos="720"/>
        <w:tab w:val="right" w:leader="dot" w:pos="9350"/>
      </w:tabs>
      <w:spacing w:after="240"/>
      <w:ind w:left="1440" w:right="720" w:hanging="720"/>
    </w:pPr>
    <w:rPr>
      <w:rFonts w:eastAsia="PMingLiU"/>
      <w:sz w:val="22"/>
      <w:szCs w:val="22"/>
    </w:rPr>
  </w:style>
  <w:style w:type="paragraph" w:styleId="TOC3">
    <w:name w:val="toc 3"/>
    <w:basedOn w:val="Normal"/>
    <w:next w:val="Normal"/>
    <w:autoRedefine/>
    <w:uiPriority w:val="39"/>
    <w:unhideWhenUsed/>
    <w:rsid w:val="00E23CD9"/>
    <w:pPr>
      <w:spacing w:after="240"/>
      <w:ind w:left="2160" w:right="720" w:hanging="720"/>
    </w:pPr>
    <w:rPr>
      <w:rFonts w:eastAsia="PMingLiU"/>
      <w:sz w:val="22"/>
      <w:szCs w:val="22"/>
    </w:rPr>
  </w:style>
  <w:style w:type="paragraph" w:customStyle="1" w:styleId="MacPacTrailer">
    <w:name w:val="MacPac Trailer"/>
    <w:rsid w:val="00E23CD9"/>
    <w:pPr>
      <w:widowControl w:val="0"/>
      <w:spacing w:line="200" w:lineRule="exact"/>
    </w:pPr>
    <w:rPr>
      <w:szCs w:val="22"/>
    </w:rPr>
  </w:style>
  <w:style w:type="paragraph" w:customStyle="1" w:styleId="BodyTextSingleChar">
    <w:name w:val="Body Text Single Char"/>
    <w:aliases w:val="bts Char"/>
    <w:basedOn w:val="Normal"/>
    <w:link w:val="BodyTextSingleCharChar"/>
    <w:rsid w:val="00E23CD9"/>
    <w:pPr>
      <w:spacing w:after="240"/>
      <w:ind w:firstLine="720"/>
    </w:pPr>
  </w:style>
  <w:style w:type="character" w:customStyle="1" w:styleId="BodyTextSingleCharChar">
    <w:name w:val="Body Text Single Char Char"/>
    <w:aliases w:val="bts Char Char"/>
    <w:link w:val="BodyTextSingleChar"/>
    <w:rsid w:val="00E23CD9"/>
    <w:rPr>
      <w:sz w:val="24"/>
      <w:szCs w:val="24"/>
    </w:rPr>
  </w:style>
  <w:style w:type="paragraph" w:customStyle="1" w:styleId="BodyTextDoubleChar">
    <w:name w:val="Body Text Double Char"/>
    <w:aliases w:val="btd Char"/>
    <w:basedOn w:val="Normal"/>
    <w:link w:val="BodyTextDoubleCharChar"/>
    <w:rsid w:val="00E23CD9"/>
    <w:pPr>
      <w:spacing w:line="480" w:lineRule="auto"/>
      <w:ind w:firstLine="720"/>
    </w:pPr>
  </w:style>
  <w:style w:type="character" w:customStyle="1" w:styleId="BodyTextDoubleCharChar">
    <w:name w:val="Body Text Double Char Char"/>
    <w:aliases w:val="btd Char Char"/>
    <w:link w:val="BodyTextDoubleChar"/>
    <w:rsid w:val="00E23CD9"/>
    <w:rPr>
      <w:sz w:val="24"/>
      <w:szCs w:val="24"/>
    </w:rPr>
  </w:style>
  <w:style w:type="paragraph" w:customStyle="1" w:styleId="BodyTextDouble1">
    <w:name w:val="Body Text Double 1"/>
    <w:basedOn w:val="BodyTextDoubleChar"/>
    <w:rsid w:val="00E23CD9"/>
    <w:pPr>
      <w:ind w:firstLine="1440"/>
      <w:outlineLvl w:val="1"/>
    </w:pPr>
  </w:style>
  <w:style w:type="paragraph" w:customStyle="1" w:styleId="BodyTextDouble2">
    <w:name w:val="Body Text Double 2"/>
    <w:basedOn w:val="BodyTextDoubleChar"/>
    <w:rsid w:val="00E23CD9"/>
    <w:pPr>
      <w:ind w:firstLine="2160"/>
      <w:outlineLvl w:val="2"/>
    </w:pPr>
  </w:style>
  <w:style w:type="paragraph" w:customStyle="1" w:styleId="BodyTextDouble3">
    <w:name w:val="Body Text Double 3"/>
    <w:basedOn w:val="BodyTextDoubleChar"/>
    <w:rsid w:val="00E23CD9"/>
    <w:pPr>
      <w:ind w:firstLine="2880"/>
      <w:outlineLvl w:val="3"/>
    </w:pPr>
  </w:style>
  <w:style w:type="paragraph" w:styleId="Closing">
    <w:name w:val="Closing"/>
    <w:basedOn w:val="Normal"/>
    <w:next w:val="Signature"/>
    <w:link w:val="ClosingChar"/>
    <w:rsid w:val="00E23CD9"/>
    <w:pPr>
      <w:keepNext/>
      <w:spacing w:after="720"/>
      <w:ind w:left="4320"/>
      <w:contextualSpacing/>
    </w:pPr>
  </w:style>
  <w:style w:type="paragraph" w:styleId="Signature">
    <w:name w:val="Signature"/>
    <w:basedOn w:val="Normal"/>
    <w:link w:val="SignatureChar"/>
    <w:rsid w:val="00E23CD9"/>
    <w:pPr>
      <w:ind w:left="4320"/>
    </w:pPr>
  </w:style>
  <w:style w:type="character" w:customStyle="1" w:styleId="SignatureChar">
    <w:name w:val="Signature Char"/>
    <w:basedOn w:val="DefaultParagraphFont"/>
    <w:link w:val="Signature"/>
    <w:rsid w:val="00E23CD9"/>
    <w:rPr>
      <w:sz w:val="24"/>
      <w:szCs w:val="24"/>
    </w:rPr>
  </w:style>
  <w:style w:type="character" w:customStyle="1" w:styleId="ClosingChar">
    <w:name w:val="Closing Char"/>
    <w:basedOn w:val="DefaultParagraphFont"/>
    <w:link w:val="Closing"/>
    <w:rsid w:val="00E23CD9"/>
    <w:rPr>
      <w:sz w:val="24"/>
      <w:szCs w:val="24"/>
    </w:rPr>
  </w:style>
  <w:style w:type="paragraph" w:customStyle="1" w:styleId="ConfidentialityPhrase">
    <w:name w:val="ConfidentialityPhrase"/>
    <w:basedOn w:val="Normal"/>
    <w:rsid w:val="00E23CD9"/>
    <w:pPr>
      <w:spacing w:before="240" w:after="600"/>
      <w:contextualSpacing/>
      <w:jc w:val="center"/>
    </w:pPr>
    <w:rPr>
      <w:b/>
      <w:caps/>
    </w:rPr>
  </w:style>
  <w:style w:type="paragraph" w:styleId="Date">
    <w:name w:val="Date"/>
    <w:basedOn w:val="Normal"/>
    <w:next w:val="Normal"/>
    <w:link w:val="DateChar"/>
    <w:rsid w:val="00E23CD9"/>
    <w:pPr>
      <w:spacing w:after="240"/>
      <w:jc w:val="center"/>
    </w:pPr>
  </w:style>
  <w:style w:type="character" w:customStyle="1" w:styleId="DateChar">
    <w:name w:val="Date Char"/>
    <w:basedOn w:val="DefaultParagraphFont"/>
    <w:link w:val="Date"/>
    <w:rsid w:val="00E23CD9"/>
    <w:rPr>
      <w:sz w:val="24"/>
      <w:szCs w:val="24"/>
    </w:rPr>
  </w:style>
  <w:style w:type="paragraph" w:customStyle="1" w:styleId="DeliveryMethod">
    <w:name w:val="DeliveryMethod"/>
    <w:basedOn w:val="Normal"/>
    <w:rsid w:val="00E23CD9"/>
    <w:pPr>
      <w:spacing w:after="360"/>
      <w:contextualSpacing/>
      <w:jc w:val="right"/>
    </w:pPr>
    <w:rPr>
      <w:caps/>
      <w:u w:val="single"/>
    </w:rPr>
  </w:style>
  <w:style w:type="paragraph" w:customStyle="1" w:styleId="Discovery">
    <w:name w:val="Discovery"/>
    <w:aliases w:val="d"/>
    <w:basedOn w:val="Normal"/>
    <w:next w:val="BodyTextDoubleChar"/>
    <w:rsid w:val="00E23CD9"/>
    <w:pPr>
      <w:spacing w:line="480" w:lineRule="auto"/>
      <w:outlineLvl w:val="0"/>
    </w:pPr>
    <w:rPr>
      <w:caps/>
      <w:u w:val="single"/>
    </w:rPr>
  </w:style>
  <w:style w:type="paragraph" w:customStyle="1" w:styleId="DoubleSpacing">
    <w:name w:val="Double Spacing"/>
    <w:aliases w:val="ds"/>
    <w:basedOn w:val="Normal"/>
    <w:next w:val="BodyTextDoubleChar"/>
    <w:rsid w:val="00E23CD9"/>
    <w:pPr>
      <w:spacing w:line="480" w:lineRule="auto"/>
    </w:pPr>
  </w:style>
  <w:style w:type="paragraph" w:styleId="EnvelopeAddress">
    <w:name w:val="envelope address"/>
    <w:basedOn w:val="Normal"/>
    <w:rsid w:val="00E23CD9"/>
    <w:pPr>
      <w:framePr w:w="7920" w:h="1980" w:hRule="exact" w:hSpace="180" w:wrap="auto" w:hAnchor="page" w:xAlign="center" w:yAlign="bottom"/>
      <w:ind w:left="2880"/>
    </w:pPr>
    <w:rPr>
      <w:rFonts w:cs="Arial"/>
    </w:rPr>
  </w:style>
  <w:style w:type="paragraph" w:styleId="EnvelopeReturn">
    <w:name w:val="envelope return"/>
    <w:basedOn w:val="Normal"/>
    <w:rsid w:val="00E23CD9"/>
    <w:rPr>
      <w:rFonts w:cs="Arial"/>
      <w:sz w:val="20"/>
      <w:szCs w:val="20"/>
    </w:rPr>
  </w:style>
  <w:style w:type="paragraph" w:styleId="List">
    <w:name w:val="List"/>
    <w:basedOn w:val="Normal"/>
    <w:rsid w:val="00E23CD9"/>
    <w:pPr>
      <w:spacing w:after="240"/>
      <w:ind w:left="720" w:hanging="720"/>
    </w:pPr>
  </w:style>
  <w:style w:type="paragraph" w:styleId="List3">
    <w:name w:val="List 3"/>
    <w:basedOn w:val="List2"/>
    <w:rsid w:val="00E23CD9"/>
    <w:pPr>
      <w:numPr>
        <w:numId w:val="0"/>
      </w:numPr>
      <w:ind w:left="2160" w:hanging="720"/>
      <w:jc w:val="left"/>
    </w:pPr>
    <w:rPr>
      <w:rFonts w:eastAsia="Times New Roman"/>
      <w:sz w:val="24"/>
      <w:szCs w:val="24"/>
    </w:rPr>
  </w:style>
  <w:style w:type="paragraph" w:styleId="List4">
    <w:name w:val="List 4"/>
    <w:basedOn w:val="List3"/>
    <w:rsid w:val="00E23CD9"/>
    <w:pPr>
      <w:ind w:left="2880"/>
    </w:pPr>
  </w:style>
  <w:style w:type="paragraph" w:styleId="List5">
    <w:name w:val="List 5"/>
    <w:basedOn w:val="List4"/>
    <w:rsid w:val="00E23CD9"/>
    <w:pPr>
      <w:ind w:left="3600"/>
    </w:pPr>
  </w:style>
  <w:style w:type="paragraph" w:styleId="ListBullet3">
    <w:name w:val="List Bullet 3"/>
    <w:basedOn w:val="ListBullet2"/>
    <w:qFormat/>
    <w:rsid w:val="00E23CD9"/>
    <w:pPr>
      <w:numPr>
        <w:numId w:val="0"/>
      </w:numPr>
      <w:tabs>
        <w:tab w:val="num" w:pos="360"/>
      </w:tabs>
    </w:pPr>
  </w:style>
  <w:style w:type="paragraph" w:styleId="ListBullet4">
    <w:name w:val="List Bullet 4"/>
    <w:basedOn w:val="ListBullet3"/>
    <w:rsid w:val="00E23CD9"/>
  </w:style>
  <w:style w:type="paragraph" w:styleId="ListBullet5">
    <w:name w:val="List Bullet 5"/>
    <w:basedOn w:val="ListBullet4"/>
    <w:rsid w:val="00E23CD9"/>
  </w:style>
  <w:style w:type="paragraph" w:customStyle="1" w:styleId="Para-List1">
    <w:name w:val="Para-List 1"/>
    <w:aliases w:val="p1"/>
    <w:basedOn w:val="Normal"/>
    <w:rsid w:val="00E23CD9"/>
    <w:pPr>
      <w:numPr>
        <w:numId w:val="16"/>
      </w:numPr>
      <w:tabs>
        <w:tab w:val="clear" w:pos="1440"/>
        <w:tab w:val="num" w:pos="360"/>
      </w:tabs>
      <w:spacing w:after="240"/>
      <w:ind w:firstLine="0"/>
    </w:pPr>
  </w:style>
  <w:style w:type="paragraph" w:customStyle="1" w:styleId="Para-List2">
    <w:name w:val="Para-List 2"/>
    <w:aliases w:val="p2"/>
    <w:basedOn w:val="Para-List1"/>
    <w:rsid w:val="00E23CD9"/>
    <w:pPr>
      <w:numPr>
        <w:ilvl w:val="1"/>
      </w:numPr>
      <w:tabs>
        <w:tab w:val="clear" w:pos="2160"/>
        <w:tab w:val="num" w:pos="360"/>
      </w:tabs>
      <w:ind w:firstLine="0"/>
    </w:pPr>
  </w:style>
  <w:style w:type="paragraph" w:customStyle="1" w:styleId="Para-List3">
    <w:name w:val="Para-List 3"/>
    <w:aliases w:val="p3"/>
    <w:basedOn w:val="Para-List2"/>
    <w:rsid w:val="00E23CD9"/>
    <w:pPr>
      <w:numPr>
        <w:ilvl w:val="2"/>
      </w:numPr>
      <w:tabs>
        <w:tab w:val="clear" w:pos="2880"/>
        <w:tab w:val="num" w:pos="360"/>
      </w:tabs>
      <w:ind w:firstLine="0"/>
    </w:pPr>
  </w:style>
  <w:style w:type="paragraph" w:customStyle="1" w:styleId="Para-List4">
    <w:name w:val="Para-List 4"/>
    <w:aliases w:val="p4"/>
    <w:basedOn w:val="Para-List3"/>
    <w:rsid w:val="00E23CD9"/>
    <w:pPr>
      <w:numPr>
        <w:ilvl w:val="3"/>
      </w:numPr>
      <w:tabs>
        <w:tab w:val="clear" w:pos="3600"/>
        <w:tab w:val="num" w:pos="360"/>
      </w:tabs>
      <w:ind w:firstLine="0"/>
    </w:pPr>
  </w:style>
  <w:style w:type="paragraph" w:customStyle="1" w:styleId="QuoteCiteDouble">
    <w:name w:val="QuoteCiteDouble"/>
    <w:basedOn w:val="Normal"/>
    <w:next w:val="BodyTextDoubleChar"/>
    <w:rsid w:val="00E23CD9"/>
    <w:pPr>
      <w:spacing w:line="480" w:lineRule="auto"/>
    </w:pPr>
  </w:style>
  <w:style w:type="paragraph" w:customStyle="1" w:styleId="QuoteCiteSingle">
    <w:name w:val="QuoteCiteSingle"/>
    <w:basedOn w:val="Normal"/>
    <w:next w:val="BodyTextSingleChar"/>
    <w:rsid w:val="00E23CD9"/>
    <w:pPr>
      <w:spacing w:after="240"/>
    </w:pPr>
  </w:style>
  <w:style w:type="paragraph" w:customStyle="1" w:styleId="QuoteSingle1">
    <w:name w:val="QuoteSingle1"/>
    <w:aliases w:val="qs1"/>
    <w:basedOn w:val="Normal"/>
    <w:next w:val="QuoteCiteSingle"/>
    <w:rsid w:val="00E23CD9"/>
    <w:pPr>
      <w:spacing w:after="240"/>
      <w:ind w:left="720" w:right="720"/>
    </w:pPr>
  </w:style>
  <w:style w:type="paragraph" w:customStyle="1" w:styleId="QuoteDouble1">
    <w:name w:val="QuoteDouble1"/>
    <w:aliases w:val="qd1"/>
    <w:basedOn w:val="QuoteSingle1"/>
    <w:next w:val="QuoteCiteDouble"/>
    <w:rsid w:val="00E23CD9"/>
  </w:style>
  <w:style w:type="paragraph" w:customStyle="1" w:styleId="QuoteDouble2">
    <w:name w:val="QuoteDouble2"/>
    <w:aliases w:val="qd2"/>
    <w:basedOn w:val="QuoteDouble1"/>
    <w:next w:val="QuoteCiteDouble"/>
    <w:rsid w:val="00E23CD9"/>
  </w:style>
  <w:style w:type="paragraph" w:customStyle="1" w:styleId="QuoteSingle2">
    <w:name w:val="QuoteSingle2"/>
    <w:aliases w:val="qs2"/>
    <w:basedOn w:val="QuoteSingle1"/>
    <w:next w:val="QuoteCiteSingle"/>
    <w:rsid w:val="00E23CD9"/>
  </w:style>
  <w:style w:type="paragraph" w:styleId="Salutation">
    <w:name w:val="Salutation"/>
    <w:basedOn w:val="Normal"/>
    <w:next w:val="BodyTextSingleChar"/>
    <w:link w:val="SalutationChar"/>
    <w:rsid w:val="00E23CD9"/>
    <w:pPr>
      <w:spacing w:after="240"/>
    </w:pPr>
  </w:style>
  <w:style w:type="character" w:customStyle="1" w:styleId="SalutationChar">
    <w:name w:val="Salutation Char"/>
    <w:basedOn w:val="DefaultParagraphFont"/>
    <w:link w:val="Salutation"/>
    <w:rsid w:val="00E23CD9"/>
    <w:rPr>
      <w:sz w:val="24"/>
      <w:szCs w:val="24"/>
    </w:rPr>
  </w:style>
  <w:style w:type="paragraph" w:styleId="TableofAuthorities">
    <w:name w:val="table of authorities"/>
    <w:basedOn w:val="Normal"/>
    <w:rsid w:val="00E23CD9"/>
    <w:pPr>
      <w:spacing w:after="240"/>
      <w:ind w:left="720" w:hanging="720"/>
    </w:pPr>
  </w:style>
  <w:style w:type="paragraph" w:styleId="TOAHeading">
    <w:name w:val="toa heading"/>
    <w:basedOn w:val="Normal"/>
    <w:next w:val="Normal"/>
    <w:rsid w:val="00E23CD9"/>
    <w:pPr>
      <w:keepNext/>
      <w:spacing w:after="240"/>
    </w:pPr>
    <w:rPr>
      <w:rFonts w:cs="Arial"/>
      <w:b/>
      <w:bCs/>
      <w:caps/>
    </w:rPr>
  </w:style>
  <w:style w:type="paragraph" w:customStyle="1" w:styleId="TOAPage">
    <w:name w:val="TOA Page"/>
    <w:basedOn w:val="Normal"/>
    <w:next w:val="Normal"/>
    <w:rsid w:val="00E23CD9"/>
    <w:pPr>
      <w:keepNext/>
      <w:spacing w:after="240"/>
      <w:jc w:val="right"/>
    </w:pPr>
    <w:rPr>
      <w:b/>
    </w:rPr>
  </w:style>
  <w:style w:type="paragraph" w:customStyle="1" w:styleId="TOATitle">
    <w:name w:val="TOA Title"/>
    <w:basedOn w:val="Normal"/>
    <w:next w:val="TOAPage"/>
    <w:rsid w:val="00E23CD9"/>
    <w:pPr>
      <w:spacing w:after="240"/>
      <w:jc w:val="center"/>
    </w:pPr>
    <w:rPr>
      <w:b/>
      <w:caps/>
    </w:rPr>
  </w:style>
  <w:style w:type="paragraph" w:styleId="TOC4">
    <w:name w:val="toc 4"/>
    <w:basedOn w:val="TOC3"/>
    <w:next w:val="Normal"/>
    <w:autoRedefine/>
    <w:rsid w:val="00E23CD9"/>
    <w:pPr>
      <w:tabs>
        <w:tab w:val="right" w:leader="dot" w:pos="9360"/>
      </w:tabs>
      <w:ind w:left="2880"/>
    </w:pPr>
    <w:rPr>
      <w:rFonts w:eastAsia="Times New Roman"/>
      <w:sz w:val="24"/>
      <w:szCs w:val="24"/>
    </w:rPr>
  </w:style>
  <w:style w:type="paragraph" w:styleId="TOC5">
    <w:name w:val="toc 5"/>
    <w:basedOn w:val="TOC4"/>
    <w:next w:val="Normal"/>
    <w:autoRedefine/>
    <w:rsid w:val="00E23CD9"/>
    <w:pPr>
      <w:ind w:left="3600"/>
    </w:pPr>
  </w:style>
  <w:style w:type="paragraph" w:styleId="TOC6">
    <w:name w:val="toc 6"/>
    <w:basedOn w:val="TOC5"/>
    <w:next w:val="Normal"/>
    <w:autoRedefine/>
    <w:rsid w:val="00E23CD9"/>
    <w:pPr>
      <w:ind w:left="4320"/>
    </w:pPr>
  </w:style>
  <w:style w:type="paragraph" w:customStyle="1" w:styleId="TOCPage">
    <w:name w:val="TOC Page"/>
    <w:basedOn w:val="Normal"/>
    <w:next w:val="Normal"/>
    <w:rsid w:val="00E23CD9"/>
    <w:pPr>
      <w:keepNext/>
      <w:spacing w:after="240"/>
      <w:jc w:val="right"/>
    </w:pPr>
    <w:rPr>
      <w:b/>
    </w:rPr>
  </w:style>
  <w:style w:type="paragraph" w:customStyle="1" w:styleId="TOCTitle">
    <w:name w:val="TOC Title"/>
    <w:basedOn w:val="Normal"/>
    <w:next w:val="TOCPage"/>
    <w:rsid w:val="00E23CD9"/>
    <w:pPr>
      <w:keepNext/>
      <w:spacing w:after="240"/>
      <w:jc w:val="center"/>
    </w:pPr>
    <w:rPr>
      <w:b/>
      <w:caps/>
    </w:rPr>
  </w:style>
  <w:style w:type="paragraph" w:styleId="TOC7">
    <w:name w:val="toc 7"/>
    <w:basedOn w:val="TOC6"/>
    <w:next w:val="Normal"/>
    <w:autoRedefine/>
    <w:rsid w:val="00E23CD9"/>
    <w:pPr>
      <w:ind w:left="5040"/>
    </w:pPr>
  </w:style>
  <w:style w:type="paragraph" w:styleId="TOC8">
    <w:name w:val="toc 8"/>
    <w:basedOn w:val="TOC7"/>
    <w:next w:val="Normal"/>
    <w:autoRedefine/>
    <w:rsid w:val="00E23CD9"/>
    <w:pPr>
      <w:ind w:left="5760"/>
    </w:pPr>
  </w:style>
  <w:style w:type="paragraph" w:styleId="TOC9">
    <w:name w:val="toc 9"/>
    <w:basedOn w:val="TOC8"/>
    <w:next w:val="Normal"/>
    <w:autoRedefine/>
    <w:rsid w:val="00E23CD9"/>
    <w:pPr>
      <w:ind w:left="6480"/>
    </w:pPr>
  </w:style>
  <w:style w:type="character" w:customStyle="1" w:styleId="ParaNum">
    <w:name w:val="ParaNum"/>
    <w:basedOn w:val="DefaultParagraphFont"/>
    <w:rsid w:val="00E23CD9"/>
  </w:style>
  <w:style w:type="character" w:customStyle="1" w:styleId="DocXref">
    <w:name w:val="DocXref"/>
    <w:rsid w:val="00E23CD9"/>
    <w:rPr>
      <w:rFonts w:ascii="Times New Roman" w:hAnsi="Times New Roman" w:cs="Times New Roman"/>
      <w:color w:val="0000FF"/>
      <w:sz w:val="24"/>
      <w:szCs w:val="24"/>
      <w:u w:val="single"/>
      <w:lang w:val="en-US"/>
    </w:rPr>
  </w:style>
  <w:style w:type="paragraph" w:customStyle="1" w:styleId="SingleSpacing14font">
    <w:name w:val="Single Spacing (14 font)"/>
    <w:basedOn w:val="Normal"/>
    <w:semiHidden/>
    <w:rsid w:val="00E23CD9"/>
    <w:pPr>
      <w:spacing w:line="236" w:lineRule="exact"/>
      <w:jc w:val="both"/>
    </w:pPr>
    <w:rPr>
      <w:rFonts w:eastAsia="Calibri"/>
      <w:szCs w:val="20"/>
      <w:lang w:bidi="en-US"/>
    </w:rPr>
  </w:style>
  <w:style w:type="paragraph" w:customStyle="1" w:styleId="Normal14font">
    <w:name w:val="Normal (14 font)"/>
    <w:basedOn w:val="Normal"/>
    <w:rsid w:val="00E23CD9"/>
    <w:pPr>
      <w:spacing w:line="236" w:lineRule="exact"/>
    </w:pPr>
    <w:rPr>
      <w:rFonts w:eastAsia="Calibri"/>
      <w:szCs w:val="20"/>
      <w:lang w:bidi="en-US"/>
    </w:rPr>
  </w:style>
  <w:style w:type="character" w:customStyle="1" w:styleId="ColorfulGrid-Accent1Char1">
    <w:name w:val="Colorful Grid - Accent 1 Char1"/>
    <w:link w:val="ColorfulGrid-Accent1"/>
    <w:uiPriority w:val="29"/>
    <w:rsid w:val="00E23CD9"/>
    <w:rPr>
      <w:i/>
      <w:iCs/>
      <w:color w:val="000000"/>
      <w:sz w:val="24"/>
      <w:szCs w:val="24"/>
    </w:rPr>
  </w:style>
  <w:style w:type="table" w:styleId="ColorfulGrid-Accent1">
    <w:name w:val="Colorful Grid Accent 1"/>
    <w:basedOn w:val="TableNormal"/>
    <w:link w:val="ColorfulGrid-Accent1Char1"/>
    <w:uiPriority w:val="29"/>
    <w:rsid w:val="00E23CD9"/>
    <w:rPr>
      <w:i/>
      <w:iCs/>
      <w:color w:val="000000"/>
      <w:sz w:val="24"/>
      <w:szCs w:val="24"/>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styleId="Quote">
    <w:name w:val="Quote"/>
    <w:basedOn w:val="Normal"/>
    <w:next w:val="Normal"/>
    <w:link w:val="QuoteChar"/>
    <w:uiPriority w:val="29"/>
    <w:qFormat/>
    <w:rsid w:val="00E23CD9"/>
    <w:pPr>
      <w:spacing w:after="240"/>
      <w:ind w:left="2160" w:right="1440"/>
      <w:jc w:val="both"/>
    </w:pPr>
    <w:rPr>
      <w:iCs/>
      <w:color w:val="000000"/>
    </w:rPr>
  </w:style>
  <w:style w:type="character" w:customStyle="1" w:styleId="QuoteChar">
    <w:name w:val="Quote Char"/>
    <w:basedOn w:val="DefaultParagraphFont"/>
    <w:link w:val="Quote"/>
    <w:uiPriority w:val="29"/>
    <w:rsid w:val="00E23CD9"/>
    <w:rPr>
      <w:iCs/>
      <w:color w:val="000000"/>
      <w:sz w:val="24"/>
      <w:szCs w:val="24"/>
    </w:rPr>
  </w:style>
  <w:style w:type="character" w:customStyle="1" w:styleId="UnresolvedMention1">
    <w:name w:val="Unresolved Mention1"/>
    <w:uiPriority w:val="99"/>
    <w:unhideWhenUsed/>
    <w:rsid w:val="00E23CD9"/>
    <w:rPr>
      <w:color w:val="605E5C"/>
      <w:shd w:val="clear" w:color="auto" w:fill="E1DFDD"/>
    </w:rPr>
  </w:style>
  <w:style w:type="character" w:styleId="UnresolvedMention">
    <w:name w:val="Unresolved Mention"/>
    <w:basedOn w:val="DefaultParagraphFont"/>
    <w:uiPriority w:val="99"/>
    <w:semiHidden/>
    <w:unhideWhenUsed/>
    <w:rsid w:val="00251C85"/>
    <w:rPr>
      <w:color w:val="605E5C"/>
      <w:shd w:val="clear" w:color="auto" w:fill="E1DFDD"/>
    </w:rPr>
  </w:style>
  <w:style w:type="paragraph" w:customStyle="1" w:styleId="Heading21">
    <w:name w:val="Heading2_1"/>
    <w:qFormat/>
    <w:rsid w:val="00821A2E"/>
    <w:pPr>
      <w:tabs>
        <w:tab w:val="num" w:pos="1440"/>
      </w:tabs>
      <w:spacing w:line="480" w:lineRule="auto"/>
      <w:ind w:firstLine="720"/>
      <w:outlineLvl w:val="1"/>
    </w:pPr>
    <w:rPr>
      <w:bCs/>
      <w:iCs/>
      <w:sz w:val="24"/>
      <w:szCs w:val="24"/>
    </w:rPr>
  </w:style>
  <w:style w:type="paragraph" w:customStyle="1" w:styleId="Pa7">
    <w:name w:val="Pa7"/>
    <w:basedOn w:val="Default"/>
    <w:next w:val="Default"/>
    <w:uiPriority w:val="99"/>
    <w:rsid w:val="00BE4320"/>
    <w:pPr>
      <w:widowControl/>
      <w:numPr>
        <w:numId w:val="0"/>
      </w:numPr>
      <w:spacing w:line="221" w:lineRule="atLeast"/>
      <w:jc w:val="left"/>
    </w:pPr>
    <w:rPr>
      <w:color w:val="auto"/>
    </w:rPr>
  </w:style>
  <w:style w:type="character" w:customStyle="1" w:styleId="ListParagraphChar">
    <w:name w:val="List Paragraph Char"/>
    <w:aliases w:val="&lt;100 List Paragraph Char,List Paragraph Roman Numeral Char,Quote Special Char,Roman Numeral Char"/>
    <w:link w:val="ListParagraph"/>
    <w:uiPriority w:val="34"/>
    <w:rsid w:val="0070405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399559">
      <w:bodyDiv w:val="1"/>
      <w:marLeft w:val="0"/>
      <w:marRight w:val="0"/>
      <w:marTop w:val="0"/>
      <w:marBottom w:val="0"/>
      <w:divBdr>
        <w:top w:val="none" w:sz="0" w:space="0" w:color="auto"/>
        <w:left w:val="none" w:sz="0" w:space="0" w:color="auto"/>
        <w:bottom w:val="none" w:sz="0" w:space="0" w:color="auto"/>
        <w:right w:val="none" w:sz="0" w:space="0" w:color="auto"/>
      </w:divBdr>
    </w:div>
    <w:div w:id="242379070">
      <w:bodyDiv w:val="1"/>
      <w:marLeft w:val="0"/>
      <w:marRight w:val="0"/>
      <w:marTop w:val="0"/>
      <w:marBottom w:val="0"/>
      <w:divBdr>
        <w:top w:val="none" w:sz="0" w:space="0" w:color="auto"/>
        <w:left w:val="none" w:sz="0" w:space="0" w:color="auto"/>
        <w:bottom w:val="none" w:sz="0" w:space="0" w:color="auto"/>
        <w:right w:val="none" w:sz="0" w:space="0" w:color="auto"/>
      </w:divBdr>
    </w:div>
    <w:div w:id="472798263">
      <w:bodyDiv w:val="1"/>
      <w:marLeft w:val="0"/>
      <w:marRight w:val="0"/>
      <w:marTop w:val="0"/>
      <w:marBottom w:val="0"/>
      <w:divBdr>
        <w:top w:val="none" w:sz="0" w:space="0" w:color="auto"/>
        <w:left w:val="none" w:sz="0" w:space="0" w:color="auto"/>
        <w:bottom w:val="none" w:sz="0" w:space="0" w:color="auto"/>
        <w:right w:val="none" w:sz="0" w:space="0" w:color="auto"/>
      </w:divBdr>
    </w:div>
    <w:div w:id="1364550566">
      <w:bodyDiv w:val="1"/>
      <w:marLeft w:val="0"/>
      <w:marRight w:val="0"/>
      <w:marTop w:val="0"/>
      <w:marBottom w:val="0"/>
      <w:divBdr>
        <w:top w:val="none" w:sz="0" w:space="0" w:color="auto"/>
        <w:left w:val="none" w:sz="0" w:space="0" w:color="auto"/>
        <w:bottom w:val="none" w:sz="0" w:space="0" w:color="auto"/>
        <w:right w:val="none" w:sz="0" w:space="0" w:color="auto"/>
      </w:divBdr>
    </w:div>
    <w:div w:id="1835412444">
      <w:bodyDiv w:val="1"/>
      <w:marLeft w:val="0"/>
      <w:marRight w:val="0"/>
      <w:marTop w:val="0"/>
      <w:marBottom w:val="0"/>
      <w:divBdr>
        <w:top w:val="none" w:sz="0" w:space="0" w:color="auto"/>
        <w:left w:val="none" w:sz="0" w:space="0" w:color="auto"/>
        <w:bottom w:val="none" w:sz="0" w:space="0" w:color="auto"/>
        <w:right w:val="none" w:sz="0" w:space="0" w:color="auto"/>
      </w:divBdr>
    </w:div>
    <w:div w:id="201569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tmc.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ktmc.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GeneralElectricSecuritiesLitigation.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ktmc.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properties xmlns="http://www.imanage.com/work/xmlschema">
  <documentid>SB!8993640.12</documentid>
  <senderid>JENCK</senderid>
  <senderemail>JENCK@KTMC.COM</senderemail>
  <lastmodified>2024-11-25T13:43:00.0000000-05:00</lastmodified>
  <database>SB</database>
</properties>
</file>

<file path=customXml/itemProps1.xml><?xml version="1.0" encoding="utf-8"?>
<ds:datastoreItem xmlns:ds="http://schemas.openxmlformats.org/officeDocument/2006/customXml" ds:itemID="{3E737A39-5B6C-4FEF-9781-79178CF965D2}">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12311</Words>
  <Characters>65244</Characters>
  <Application>Microsoft Office Word</Application>
  <DocSecurity>0</DocSecurity>
  <Lines>543</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2025-01-17T19:54:00Z</dcterms:created>
  <dcterms:modified xsi:type="dcterms:W3CDTF">2025-01-21T14:51:00Z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
    <vt:lpwstr>{REF:0434830019}</vt:lpwstr>
  </property>
  <property fmtid="{D5CDD505-2E9C-101B-9397-08002B2CF9AE}" pid="3" name="REF0">
    <vt:lpwstr>{REF0:0}</vt:lpwstr>
  </property>
  <property fmtid="{D5CDD505-2E9C-101B-9397-08002B2CF9AE}" pid="4" name="REF1">
    <vt:lpwstr>{REF1:043483}</vt:lpwstr>
  </property>
</Properties>
</file>